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EF" w:rsidRPr="0075369A"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Working Group o</w:t>
      </w:r>
      <w:r w:rsidR="00361AAA">
        <w:rPr>
          <w:rFonts w:ascii="Times New Roman" w:hAnsi="Times New Roman" w:cs="Times New Roman"/>
          <w:b/>
          <w:sz w:val="24"/>
          <w:szCs w:val="24"/>
        </w:rPr>
        <w:t>n Water Quality Funding</w:t>
      </w:r>
    </w:p>
    <w:p w:rsidR="006848EF" w:rsidRPr="0075369A"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 xml:space="preserve">National Life, </w:t>
      </w:r>
      <w:r w:rsidR="00BB53D1" w:rsidRPr="0075369A">
        <w:rPr>
          <w:rFonts w:ascii="Times New Roman" w:hAnsi="Times New Roman" w:cs="Times New Roman"/>
          <w:b/>
          <w:sz w:val="24"/>
          <w:szCs w:val="24"/>
        </w:rPr>
        <w:t>Catamount Room</w:t>
      </w:r>
    </w:p>
    <w:p w:rsidR="00BB53D1" w:rsidRPr="0075369A" w:rsidRDefault="00BB53D1"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Wednesday, June 28, 2017</w:t>
      </w:r>
    </w:p>
    <w:p w:rsidR="00BB53D1" w:rsidRPr="0075369A" w:rsidRDefault="00BB53D1"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3:00-4:30</w:t>
      </w:r>
    </w:p>
    <w:p w:rsidR="00BB53D1" w:rsidRPr="0075369A" w:rsidRDefault="00BB53D1" w:rsidP="00BB53D1">
      <w:pPr>
        <w:spacing w:after="0"/>
        <w:jc w:val="center"/>
        <w:rPr>
          <w:rFonts w:ascii="Times New Roman" w:hAnsi="Times New Roman" w:cs="Times New Roman"/>
          <w:b/>
          <w:sz w:val="24"/>
          <w:szCs w:val="24"/>
        </w:rPr>
      </w:pPr>
    </w:p>
    <w:p w:rsidR="00BB53D1" w:rsidRPr="0075369A" w:rsidRDefault="001060C0"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PROPOSED </w:t>
      </w:r>
      <w:r w:rsidR="00361AAA">
        <w:rPr>
          <w:rFonts w:ascii="Times New Roman" w:hAnsi="Times New Roman" w:cs="Times New Roman"/>
          <w:b/>
          <w:sz w:val="24"/>
          <w:szCs w:val="24"/>
        </w:rPr>
        <w:t>AGENDA</w:t>
      </w:r>
    </w:p>
    <w:p w:rsidR="00BB53D1" w:rsidRDefault="00BB53D1" w:rsidP="00BB53D1">
      <w:pPr>
        <w:spacing w:after="0"/>
        <w:jc w:val="center"/>
        <w:rPr>
          <w:rFonts w:ascii="Times New Roman" w:hAnsi="Times New Roman" w:cs="Times New Roman"/>
          <w:sz w:val="24"/>
          <w:szCs w:val="24"/>
        </w:rPr>
      </w:pPr>
    </w:p>
    <w:p w:rsidR="00BB53D1" w:rsidRPr="00361AAA" w:rsidRDefault="00BB53D1" w:rsidP="00BB53D1">
      <w:pPr>
        <w:spacing w:after="0"/>
        <w:rPr>
          <w:rFonts w:ascii="Times New Roman" w:hAnsi="Times New Roman" w:cs="Times New Roman"/>
          <w:b/>
          <w:sz w:val="24"/>
          <w:szCs w:val="24"/>
        </w:rPr>
      </w:pPr>
      <w:r w:rsidRPr="00361AAA">
        <w:rPr>
          <w:rFonts w:ascii="Times New Roman" w:hAnsi="Times New Roman" w:cs="Times New Roman"/>
          <w:b/>
          <w:sz w:val="24"/>
          <w:szCs w:val="24"/>
        </w:rPr>
        <w:t>Introductions</w:t>
      </w:r>
      <w:r w:rsidR="00361AAA">
        <w:rPr>
          <w:rFonts w:ascii="Times New Roman" w:hAnsi="Times New Roman" w:cs="Times New Roman"/>
          <w:b/>
          <w:sz w:val="24"/>
          <w:szCs w:val="24"/>
        </w:rPr>
        <w:t>/Review Agenda</w:t>
      </w:r>
    </w:p>
    <w:p w:rsidR="001622EC" w:rsidRDefault="001622EC" w:rsidP="00BB53D1">
      <w:pPr>
        <w:spacing w:after="0"/>
        <w:rPr>
          <w:rFonts w:ascii="Times New Roman" w:hAnsi="Times New Roman" w:cs="Times New Roman"/>
          <w:sz w:val="24"/>
          <w:szCs w:val="24"/>
        </w:rPr>
      </w:pPr>
    </w:p>
    <w:p w:rsidR="001060C0" w:rsidRDefault="001060C0" w:rsidP="00BB53D1">
      <w:pPr>
        <w:spacing w:after="0"/>
        <w:rPr>
          <w:rFonts w:ascii="Times New Roman" w:hAnsi="Times New Roman" w:cs="Times New Roman"/>
          <w:sz w:val="24"/>
          <w:szCs w:val="24"/>
        </w:rPr>
      </w:pPr>
    </w:p>
    <w:p w:rsidR="00BB53D1" w:rsidRPr="00361AAA" w:rsidRDefault="00BB53D1" w:rsidP="00BB53D1">
      <w:pPr>
        <w:spacing w:after="0"/>
        <w:rPr>
          <w:rFonts w:ascii="Times New Roman" w:hAnsi="Times New Roman" w:cs="Times New Roman"/>
          <w:b/>
          <w:sz w:val="24"/>
          <w:szCs w:val="24"/>
        </w:rPr>
      </w:pPr>
      <w:r w:rsidRPr="00361AAA">
        <w:rPr>
          <w:rFonts w:ascii="Times New Roman" w:hAnsi="Times New Roman" w:cs="Times New Roman"/>
          <w:b/>
          <w:sz w:val="24"/>
          <w:szCs w:val="24"/>
        </w:rPr>
        <w:t>Statutory Mandate</w:t>
      </w:r>
    </w:p>
    <w:p w:rsidR="001622EC" w:rsidRDefault="001622EC" w:rsidP="00BB53D1">
      <w:pPr>
        <w:spacing w:after="0"/>
        <w:rPr>
          <w:rFonts w:ascii="Times New Roman" w:hAnsi="Times New Roman" w:cs="Times New Roman"/>
          <w:sz w:val="24"/>
          <w:szCs w:val="24"/>
        </w:rPr>
      </w:pPr>
      <w:r>
        <w:rPr>
          <w:rFonts w:ascii="Times New Roman" w:hAnsi="Times New Roman" w:cs="Times New Roman"/>
          <w:sz w:val="24"/>
          <w:szCs w:val="24"/>
        </w:rPr>
        <w:tab/>
      </w:r>
      <w:r w:rsidR="00361AAA">
        <w:rPr>
          <w:rFonts w:ascii="Times New Roman" w:hAnsi="Times New Roman" w:cs="Times New Roman"/>
          <w:sz w:val="24"/>
          <w:szCs w:val="24"/>
        </w:rPr>
        <w:t>Act 73 (201</w:t>
      </w:r>
      <w:r w:rsidR="001060C0">
        <w:rPr>
          <w:rFonts w:ascii="Times New Roman" w:hAnsi="Times New Roman" w:cs="Times New Roman"/>
          <w:sz w:val="24"/>
          <w:szCs w:val="24"/>
        </w:rPr>
        <w:t>7</w:t>
      </w:r>
      <w:r w:rsidR="00361AAA">
        <w:rPr>
          <w:rFonts w:ascii="Times New Roman" w:hAnsi="Times New Roman" w:cs="Times New Roman"/>
          <w:sz w:val="24"/>
          <w:szCs w:val="24"/>
        </w:rPr>
        <w:t>)</w:t>
      </w:r>
      <w:r>
        <w:rPr>
          <w:rFonts w:ascii="Times New Roman" w:hAnsi="Times New Roman" w:cs="Times New Roman"/>
          <w:sz w:val="24"/>
          <w:szCs w:val="24"/>
        </w:rPr>
        <w:t>, Section 26</w:t>
      </w:r>
      <w:r w:rsidR="00B46AED">
        <w:rPr>
          <w:rFonts w:ascii="Times New Roman" w:hAnsi="Times New Roman" w:cs="Times New Roman"/>
          <w:sz w:val="24"/>
          <w:szCs w:val="24"/>
        </w:rPr>
        <w:t xml:space="preserve"> (</w:t>
      </w:r>
      <w:r w:rsidR="00B46AED" w:rsidRPr="00B46AED">
        <w:rPr>
          <w:rFonts w:ascii="Times New Roman" w:hAnsi="Times New Roman" w:cs="Times New Roman"/>
          <w:b/>
          <w:sz w:val="24"/>
          <w:szCs w:val="24"/>
        </w:rPr>
        <w:t>below</w:t>
      </w:r>
      <w:r w:rsidR="00B46AED">
        <w:rPr>
          <w:rFonts w:ascii="Times New Roman" w:hAnsi="Times New Roman" w:cs="Times New Roman"/>
          <w:sz w:val="24"/>
          <w:szCs w:val="24"/>
        </w:rPr>
        <w:t>)</w:t>
      </w:r>
    </w:p>
    <w:p w:rsidR="001622EC" w:rsidRDefault="001622EC" w:rsidP="00BB53D1">
      <w:pPr>
        <w:spacing w:after="0"/>
        <w:rPr>
          <w:rFonts w:ascii="Times New Roman" w:hAnsi="Times New Roman" w:cs="Times New Roman"/>
          <w:sz w:val="24"/>
          <w:szCs w:val="24"/>
        </w:rPr>
      </w:pPr>
    </w:p>
    <w:p w:rsidR="001060C0" w:rsidRDefault="001060C0" w:rsidP="00BB53D1">
      <w:pPr>
        <w:spacing w:after="0"/>
        <w:rPr>
          <w:rFonts w:ascii="Times New Roman" w:hAnsi="Times New Roman" w:cs="Times New Roman"/>
          <w:sz w:val="24"/>
          <w:szCs w:val="24"/>
        </w:rPr>
      </w:pPr>
    </w:p>
    <w:p w:rsidR="00BB53D1" w:rsidRPr="00361AAA" w:rsidRDefault="00BB53D1" w:rsidP="00BB53D1">
      <w:pPr>
        <w:spacing w:after="0"/>
        <w:rPr>
          <w:rFonts w:ascii="Times New Roman" w:hAnsi="Times New Roman" w:cs="Times New Roman"/>
          <w:b/>
          <w:sz w:val="24"/>
          <w:szCs w:val="24"/>
        </w:rPr>
      </w:pPr>
      <w:r w:rsidRPr="00361AAA">
        <w:rPr>
          <w:rFonts w:ascii="Times New Roman" w:hAnsi="Times New Roman" w:cs="Times New Roman"/>
          <w:b/>
          <w:sz w:val="24"/>
          <w:szCs w:val="24"/>
        </w:rPr>
        <w:t>FY18 Clean Water Funding</w:t>
      </w:r>
    </w:p>
    <w:p w:rsidR="00BB53D1" w:rsidRDefault="00BB53D1" w:rsidP="00805FA9">
      <w:pPr>
        <w:spacing w:after="0"/>
        <w:ind w:firstLine="720"/>
        <w:rPr>
          <w:rFonts w:ascii="Times New Roman" w:hAnsi="Times New Roman" w:cs="Times New Roman"/>
          <w:sz w:val="24"/>
          <w:szCs w:val="24"/>
        </w:rPr>
      </w:pPr>
      <w:r>
        <w:rPr>
          <w:rFonts w:ascii="Times New Roman" w:hAnsi="Times New Roman" w:cs="Times New Roman"/>
          <w:sz w:val="24"/>
          <w:szCs w:val="24"/>
        </w:rPr>
        <w:t>FY18 Summary of Total appropriations (by bill)</w:t>
      </w:r>
      <w:r w:rsidR="00B46AED">
        <w:rPr>
          <w:rFonts w:ascii="Times New Roman" w:hAnsi="Times New Roman" w:cs="Times New Roman"/>
          <w:sz w:val="24"/>
          <w:szCs w:val="24"/>
        </w:rPr>
        <w:t xml:space="preserve"> (</w:t>
      </w:r>
      <w:r w:rsidR="00B46AED" w:rsidRPr="00B46AED">
        <w:rPr>
          <w:rFonts w:ascii="Times New Roman" w:hAnsi="Times New Roman" w:cs="Times New Roman"/>
          <w:b/>
          <w:sz w:val="24"/>
          <w:szCs w:val="24"/>
        </w:rPr>
        <w:t>attached</w:t>
      </w:r>
      <w:r w:rsidR="00B46AED">
        <w:rPr>
          <w:rFonts w:ascii="Times New Roman" w:hAnsi="Times New Roman" w:cs="Times New Roman"/>
          <w:sz w:val="24"/>
          <w:szCs w:val="24"/>
        </w:rPr>
        <w:t>)</w:t>
      </w:r>
    </w:p>
    <w:p w:rsidR="00BB53D1" w:rsidRDefault="00BB53D1" w:rsidP="00B46AED">
      <w:pPr>
        <w:spacing w:after="0"/>
        <w:ind w:right="-810"/>
        <w:rPr>
          <w:rFonts w:ascii="Times New Roman" w:hAnsi="Times New Roman" w:cs="Times New Roman"/>
          <w:sz w:val="24"/>
          <w:szCs w:val="24"/>
        </w:rPr>
      </w:pPr>
      <w:r>
        <w:rPr>
          <w:rFonts w:ascii="Times New Roman" w:hAnsi="Times New Roman" w:cs="Times New Roman"/>
          <w:sz w:val="24"/>
          <w:szCs w:val="24"/>
        </w:rPr>
        <w:tab/>
        <w:t>FY18 Summary of Costs and Revenues (by sector) (by type of property owner)</w:t>
      </w:r>
      <w:r w:rsidR="00B46AED">
        <w:rPr>
          <w:rFonts w:ascii="Times New Roman" w:hAnsi="Times New Roman" w:cs="Times New Roman"/>
          <w:sz w:val="24"/>
          <w:szCs w:val="24"/>
        </w:rPr>
        <w:t xml:space="preserve"> (</w:t>
      </w:r>
      <w:r w:rsidR="00B46AED" w:rsidRPr="00B46AED">
        <w:rPr>
          <w:rFonts w:ascii="Times New Roman" w:hAnsi="Times New Roman" w:cs="Times New Roman"/>
          <w:b/>
          <w:sz w:val="24"/>
          <w:szCs w:val="24"/>
        </w:rPr>
        <w:t>attached</w:t>
      </w:r>
      <w:r w:rsidR="00B46AED">
        <w:rPr>
          <w:rFonts w:ascii="Times New Roman" w:hAnsi="Times New Roman" w:cs="Times New Roman"/>
          <w:sz w:val="24"/>
          <w:szCs w:val="24"/>
        </w:rPr>
        <w:t>)</w:t>
      </w:r>
    </w:p>
    <w:p w:rsidR="001622EC" w:rsidRDefault="001622EC" w:rsidP="00BB53D1">
      <w:pPr>
        <w:spacing w:after="0"/>
        <w:rPr>
          <w:rFonts w:ascii="Times New Roman" w:hAnsi="Times New Roman" w:cs="Times New Roman"/>
          <w:sz w:val="24"/>
          <w:szCs w:val="24"/>
        </w:rPr>
      </w:pPr>
    </w:p>
    <w:p w:rsidR="001060C0" w:rsidRDefault="001060C0" w:rsidP="00BB53D1">
      <w:pPr>
        <w:spacing w:after="0"/>
        <w:rPr>
          <w:rFonts w:ascii="Times New Roman" w:hAnsi="Times New Roman" w:cs="Times New Roman"/>
          <w:sz w:val="24"/>
          <w:szCs w:val="24"/>
        </w:rPr>
      </w:pPr>
    </w:p>
    <w:p w:rsidR="001622EC" w:rsidRPr="00361AAA" w:rsidRDefault="001622EC" w:rsidP="00BB53D1">
      <w:pPr>
        <w:spacing w:after="0"/>
        <w:rPr>
          <w:rFonts w:ascii="Times New Roman" w:hAnsi="Times New Roman" w:cs="Times New Roman"/>
          <w:b/>
          <w:sz w:val="24"/>
          <w:szCs w:val="24"/>
        </w:rPr>
      </w:pPr>
      <w:r w:rsidRPr="00361AAA">
        <w:rPr>
          <w:rFonts w:ascii="Times New Roman" w:hAnsi="Times New Roman" w:cs="Times New Roman"/>
          <w:b/>
          <w:sz w:val="24"/>
          <w:szCs w:val="24"/>
        </w:rPr>
        <w:t>Discuss Focus Areas for this Report</w:t>
      </w:r>
    </w:p>
    <w:p w:rsidR="001622EC" w:rsidRDefault="001622EC" w:rsidP="001622EC">
      <w:pPr>
        <w:spacing w:after="0"/>
        <w:ind w:firstLine="720"/>
        <w:rPr>
          <w:rFonts w:ascii="Times New Roman" w:hAnsi="Times New Roman" w:cs="Times New Roman"/>
          <w:sz w:val="24"/>
          <w:szCs w:val="24"/>
        </w:rPr>
      </w:pPr>
      <w:r>
        <w:rPr>
          <w:rFonts w:ascii="Times New Roman" w:hAnsi="Times New Roman" w:cs="Times New Roman"/>
          <w:sz w:val="24"/>
          <w:szCs w:val="24"/>
        </w:rPr>
        <w:t>Draft Table of Contents</w:t>
      </w:r>
      <w:r w:rsidR="00B46AED">
        <w:rPr>
          <w:rFonts w:ascii="Times New Roman" w:hAnsi="Times New Roman" w:cs="Times New Roman"/>
          <w:sz w:val="24"/>
          <w:szCs w:val="24"/>
        </w:rPr>
        <w:t xml:space="preserve"> (</w:t>
      </w:r>
      <w:r w:rsidR="00B46AED" w:rsidRPr="00B46AED">
        <w:rPr>
          <w:rFonts w:ascii="Times New Roman" w:hAnsi="Times New Roman" w:cs="Times New Roman"/>
          <w:b/>
          <w:sz w:val="24"/>
          <w:szCs w:val="24"/>
        </w:rPr>
        <w:t>attached</w:t>
      </w:r>
      <w:r w:rsidR="00B46AED">
        <w:rPr>
          <w:rFonts w:ascii="Times New Roman" w:hAnsi="Times New Roman" w:cs="Times New Roman"/>
          <w:sz w:val="24"/>
          <w:szCs w:val="24"/>
        </w:rPr>
        <w:t>)</w:t>
      </w:r>
    </w:p>
    <w:p w:rsidR="00BB53D1" w:rsidRDefault="00BB53D1" w:rsidP="00BB53D1">
      <w:pPr>
        <w:rPr>
          <w:rFonts w:ascii="Times New Roman" w:hAnsi="Times New Roman" w:cs="Times New Roman"/>
          <w:sz w:val="24"/>
          <w:szCs w:val="24"/>
        </w:rPr>
      </w:pPr>
    </w:p>
    <w:p w:rsidR="00C82357" w:rsidRPr="00361AAA" w:rsidRDefault="001622EC" w:rsidP="00C82357">
      <w:pPr>
        <w:rPr>
          <w:rFonts w:ascii="Times New Roman" w:hAnsi="Times New Roman" w:cs="Times New Roman"/>
          <w:b/>
          <w:sz w:val="24"/>
          <w:szCs w:val="24"/>
        </w:rPr>
      </w:pPr>
      <w:r w:rsidRPr="00361AAA">
        <w:rPr>
          <w:rFonts w:ascii="Times New Roman" w:hAnsi="Times New Roman" w:cs="Times New Roman"/>
          <w:b/>
          <w:sz w:val="24"/>
          <w:szCs w:val="24"/>
        </w:rPr>
        <w:t>Homework</w:t>
      </w:r>
      <w:r w:rsidR="00361AAA">
        <w:rPr>
          <w:rFonts w:ascii="Times New Roman" w:hAnsi="Times New Roman" w:cs="Times New Roman"/>
          <w:b/>
          <w:sz w:val="24"/>
          <w:szCs w:val="24"/>
        </w:rPr>
        <w:t>/Next</w:t>
      </w:r>
      <w:r w:rsidR="001060C0">
        <w:rPr>
          <w:rFonts w:ascii="Times New Roman" w:hAnsi="Times New Roman" w:cs="Times New Roman"/>
          <w:b/>
          <w:sz w:val="24"/>
          <w:szCs w:val="24"/>
        </w:rPr>
        <w:t xml:space="preserve"> Steps</w:t>
      </w:r>
    </w:p>
    <w:p w:rsidR="00805FA9" w:rsidRDefault="00805FA9" w:rsidP="00C82357">
      <w:pPr>
        <w:rPr>
          <w:rFonts w:ascii="Times New Roman" w:hAnsi="Times New Roman" w:cs="Times New Roman"/>
          <w:sz w:val="24"/>
          <w:szCs w:val="24"/>
        </w:rPr>
      </w:pPr>
    </w:p>
    <w:p w:rsidR="00361AAA" w:rsidRDefault="00361AAA" w:rsidP="00C82357">
      <w:pPr>
        <w:rPr>
          <w:rFonts w:ascii="Times New Roman" w:hAnsi="Times New Roman" w:cs="Times New Roman"/>
          <w:sz w:val="24"/>
          <w:szCs w:val="24"/>
        </w:rPr>
      </w:pPr>
    </w:p>
    <w:p w:rsidR="00361AAA" w:rsidRPr="00C82357" w:rsidRDefault="00361AAA" w:rsidP="00C82357">
      <w:pPr>
        <w:rPr>
          <w:rFonts w:ascii="Times New Roman" w:hAnsi="Times New Roman" w:cs="Times New Roman"/>
          <w:sz w:val="24"/>
          <w:szCs w:val="24"/>
        </w:rPr>
      </w:pPr>
    </w:p>
    <w:p w:rsidR="001060C0" w:rsidRDefault="001060C0" w:rsidP="00361AAA">
      <w:pPr>
        <w:spacing w:after="0"/>
        <w:rPr>
          <w:rFonts w:ascii="Times New Roman" w:hAnsi="Times New Roman" w:cs="Times New Roman"/>
          <w:b/>
          <w:sz w:val="24"/>
          <w:szCs w:val="24"/>
        </w:rPr>
      </w:pPr>
    </w:p>
    <w:p w:rsidR="001060C0" w:rsidRDefault="001060C0" w:rsidP="00361AAA">
      <w:pPr>
        <w:spacing w:after="0"/>
        <w:rPr>
          <w:rFonts w:ascii="Times New Roman" w:hAnsi="Times New Roman" w:cs="Times New Roman"/>
          <w:b/>
          <w:sz w:val="24"/>
          <w:szCs w:val="24"/>
        </w:rPr>
      </w:pPr>
    </w:p>
    <w:p w:rsidR="001060C0" w:rsidRDefault="001060C0" w:rsidP="00361AAA">
      <w:pPr>
        <w:spacing w:after="0"/>
        <w:rPr>
          <w:rFonts w:ascii="Times New Roman" w:hAnsi="Times New Roman" w:cs="Times New Roman"/>
          <w:b/>
          <w:sz w:val="24"/>
          <w:szCs w:val="24"/>
        </w:rPr>
      </w:pPr>
    </w:p>
    <w:p w:rsidR="001060C0" w:rsidRDefault="001060C0" w:rsidP="00361AAA">
      <w:pPr>
        <w:spacing w:after="0"/>
        <w:rPr>
          <w:rFonts w:ascii="Times New Roman" w:hAnsi="Times New Roman" w:cs="Times New Roman"/>
          <w:b/>
          <w:sz w:val="24"/>
          <w:szCs w:val="24"/>
        </w:rPr>
      </w:pPr>
    </w:p>
    <w:p w:rsidR="00361AAA" w:rsidRPr="00361AAA" w:rsidRDefault="00361AAA" w:rsidP="00361AAA">
      <w:pPr>
        <w:spacing w:after="0"/>
        <w:rPr>
          <w:rFonts w:ascii="Times New Roman" w:hAnsi="Times New Roman" w:cs="Times New Roman"/>
          <w:b/>
          <w:sz w:val="24"/>
          <w:szCs w:val="24"/>
        </w:rPr>
      </w:pPr>
      <w:r w:rsidRPr="00361AAA">
        <w:rPr>
          <w:rFonts w:ascii="Times New Roman" w:hAnsi="Times New Roman" w:cs="Times New Roman"/>
          <w:b/>
          <w:sz w:val="24"/>
          <w:szCs w:val="24"/>
        </w:rPr>
        <w:t>Future Meeting Schedule</w:t>
      </w:r>
      <w:r w:rsidR="001060C0">
        <w:rPr>
          <w:rFonts w:ascii="Times New Roman" w:hAnsi="Times New Roman" w:cs="Times New Roman"/>
          <w:b/>
          <w:sz w:val="24"/>
          <w:szCs w:val="24"/>
        </w:rPr>
        <w:t>/Deadlines</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Friday, July 14 (9:00-10:30)</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Friday, July 28 (9:00-10:30)</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Friday, August 7 (9:00-10:30)</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Friday, August 25 (9:00-10:30)</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Early September (Meeting #1 with Advisory Council)</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Early October (Meeting #2 with Advisory Council)</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Early November (Meeting #3 with Advisory Council)</w:t>
      </w:r>
    </w:p>
    <w:p w:rsidR="00361AAA" w:rsidRDefault="00361AAA" w:rsidP="00361AAA">
      <w:pPr>
        <w:spacing w:after="0"/>
        <w:rPr>
          <w:rFonts w:ascii="Times New Roman" w:hAnsi="Times New Roman" w:cs="Times New Roman"/>
          <w:sz w:val="24"/>
          <w:szCs w:val="24"/>
        </w:rPr>
      </w:pPr>
      <w:r>
        <w:rPr>
          <w:rFonts w:ascii="Times New Roman" w:hAnsi="Times New Roman" w:cs="Times New Roman"/>
          <w:sz w:val="24"/>
          <w:szCs w:val="24"/>
        </w:rPr>
        <w:tab/>
        <w:t>November 15 – Report Due</w:t>
      </w:r>
    </w:p>
    <w:p w:rsidR="00361AAA" w:rsidRDefault="00361AAA" w:rsidP="00361AAA">
      <w:pPr>
        <w:spacing w:after="0"/>
        <w:rPr>
          <w:rFonts w:ascii="Times New Roman" w:hAnsi="Times New Roman" w:cs="Times New Roman"/>
          <w:sz w:val="24"/>
          <w:szCs w:val="24"/>
        </w:rPr>
      </w:pPr>
    </w:p>
    <w:p w:rsidR="004B32F6" w:rsidRDefault="004B32F6">
      <w:pPr>
        <w:rPr>
          <w:rFonts w:ascii="Times New Roman" w:hAnsi="Times New Roman" w:cs="Times New Roman"/>
          <w:b/>
          <w:color w:val="000000"/>
          <w:sz w:val="24"/>
          <w:szCs w:val="24"/>
        </w:rPr>
      </w:pPr>
      <w:r>
        <w:rPr>
          <w:b/>
        </w:rPr>
        <w:lastRenderedPageBreak/>
        <w:br w:type="page"/>
      </w:r>
    </w:p>
    <w:p w:rsidR="0075369A" w:rsidRPr="00C82357" w:rsidRDefault="001060C0" w:rsidP="00C82357">
      <w:pPr>
        <w:pStyle w:val="Default"/>
        <w:rPr>
          <w:b/>
        </w:rPr>
      </w:pPr>
      <w:r>
        <w:rPr>
          <w:b/>
        </w:rPr>
        <w:lastRenderedPageBreak/>
        <w:t>Act 73 (2017)</w:t>
      </w:r>
      <w:r w:rsidR="0075369A" w:rsidRPr="00C82357">
        <w:rPr>
          <w:b/>
        </w:rPr>
        <w:t>, Sec. 26. WORKING GROUP ON WATER QUALITY FUNDING</w:t>
      </w:r>
    </w:p>
    <w:p w:rsidR="0075369A" w:rsidRPr="009C5AEB" w:rsidRDefault="0075369A" w:rsidP="0075369A">
      <w:pPr>
        <w:pStyle w:val="Default"/>
      </w:pPr>
    </w:p>
    <w:p w:rsidR="0075369A" w:rsidRDefault="0075369A" w:rsidP="0075369A">
      <w:pPr>
        <w:pStyle w:val="Default"/>
        <w:numPr>
          <w:ilvl w:val="0"/>
          <w:numId w:val="1"/>
        </w:numPr>
      </w:pPr>
      <w:r w:rsidRPr="009C5AEB">
        <w:t xml:space="preserve">Establishment. There is established the Working Group on Water Quality Funding to develop recommendations for equitable and effective long-term funding methods to support clean water efforts in Vermont. </w:t>
      </w:r>
    </w:p>
    <w:p w:rsidR="0075369A" w:rsidRPr="009C5AEB" w:rsidRDefault="0075369A" w:rsidP="0075369A">
      <w:pPr>
        <w:pStyle w:val="Default"/>
        <w:ind w:left="1080"/>
      </w:pPr>
    </w:p>
    <w:p w:rsidR="0075369A" w:rsidRPr="009C5AEB" w:rsidRDefault="0075369A" w:rsidP="0075369A">
      <w:pPr>
        <w:pStyle w:val="Default"/>
        <w:ind w:left="720"/>
      </w:pPr>
      <w:r w:rsidRPr="009C5AEB">
        <w:t xml:space="preserve">(b) Membership. The Working Group shall be composed of the following six members: </w:t>
      </w:r>
    </w:p>
    <w:p w:rsidR="0075369A" w:rsidRPr="009C5AEB" w:rsidRDefault="0075369A" w:rsidP="0075369A">
      <w:pPr>
        <w:pStyle w:val="Default"/>
        <w:ind w:left="1440"/>
      </w:pPr>
      <w:r w:rsidRPr="009C5AEB">
        <w:t xml:space="preserve">(1) the Secretary of Natural Resources or designee; </w:t>
      </w:r>
    </w:p>
    <w:p w:rsidR="0075369A" w:rsidRPr="009C5AEB" w:rsidRDefault="0075369A" w:rsidP="0075369A">
      <w:pPr>
        <w:pStyle w:val="Default"/>
        <w:ind w:left="1440"/>
      </w:pPr>
      <w:r w:rsidRPr="009C5AEB">
        <w:t xml:space="preserve">(2) one member from the Vermont League of Cities and Towns, appointed by the Board of Directors of that organization; </w:t>
      </w:r>
    </w:p>
    <w:p w:rsidR="0075369A" w:rsidRPr="009C5AEB" w:rsidRDefault="0075369A" w:rsidP="0075369A">
      <w:pPr>
        <w:spacing w:after="0"/>
        <w:ind w:left="1440"/>
        <w:rPr>
          <w:rFonts w:ascii="Times New Roman" w:hAnsi="Times New Roman" w:cs="Times New Roman"/>
          <w:sz w:val="24"/>
          <w:szCs w:val="24"/>
        </w:rPr>
      </w:pPr>
      <w:r w:rsidRPr="009C5AEB">
        <w:rPr>
          <w:rFonts w:ascii="Times New Roman" w:hAnsi="Times New Roman" w:cs="Times New Roman"/>
          <w:sz w:val="24"/>
          <w:szCs w:val="24"/>
        </w:rPr>
        <w:t>(3) the Secretary of Agriculture, Food and Markets or designee;</w:t>
      </w:r>
    </w:p>
    <w:p w:rsidR="0075369A" w:rsidRPr="009C5AEB" w:rsidRDefault="0075369A" w:rsidP="0075369A">
      <w:pPr>
        <w:spacing w:after="0"/>
        <w:ind w:left="1440"/>
        <w:rPr>
          <w:rFonts w:ascii="Times New Roman" w:hAnsi="Times New Roman" w:cs="Times New Roman"/>
          <w:sz w:val="24"/>
          <w:szCs w:val="24"/>
        </w:rPr>
      </w:pPr>
      <w:r w:rsidRPr="009C5AEB">
        <w:rPr>
          <w:rFonts w:ascii="Times New Roman" w:hAnsi="Times New Roman" w:cs="Times New Roman"/>
          <w:sz w:val="24"/>
          <w:szCs w:val="24"/>
        </w:rPr>
        <w:t xml:space="preserve">(4) a representative of the Vermont Center for Geographic Information; </w:t>
      </w:r>
    </w:p>
    <w:p w:rsidR="0075369A" w:rsidRPr="009C5AEB" w:rsidRDefault="0075369A" w:rsidP="0075369A">
      <w:pPr>
        <w:pStyle w:val="Default"/>
        <w:ind w:left="1440"/>
      </w:pPr>
      <w:r w:rsidRPr="009C5AEB">
        <w:t xml:space="preserve">(5) the Commissioner of Taxes or designee; </w:t>
      </w:r>
    </w:p>
    <w:p w:rsidR="0075369A" w:rsidRDefault="0075369A" w:rsidP="0075369A">
      <w:pPr>
        <w:pStyle w:val="Default"/>
        <w:ind w:left="1440"/>
      </w:pPr>
      <w:r w:rsidRPr="009C5AEB">
        <w:t xml:space="preserve">(6) one member representing commercial or industrial business interests in the State, to be appointed by the Governor, after consultation with other business groups in the State; </w:t>
      </w:r>
    </w:p>
    <w:p w:rsidR="0075369A" w:rsidRPr="009C5AEB" w:rsidRDefault="0075369A" w:rsidP="0075369A">
      <w:pPr>
        <w:pStyle w:val="Default"/>
      </w:pPr>
    </w:p>
    <w:p w:rsidR="0075369A" w:rsidRPr="009C5AEB" w:rsidRDefault="0075369A" w:rsidP="0075369A">
      <w:pPr>
        <w:pStyle w:val="Default"/>
        <w:ind w:left="720"/>
      </w:pPr>
      <w:r w:rsidRPr="009C5AEB">
        <w:t xml:space="preserve">(c) Advisory Council. The Working Group shall be assisted by an Advisory Council to be made up of: </w:t>
      </w:r>
    </w:p>
    <w:p w:rsidR="0075369A" w:rsidRPr="009C5AEB" w:rsidRDefault="0075369A" w:rsidP="0075369A">
      <w:pPr>
        <w:spacing w:after="0"/>
        <w:ind w:left="1440"/>
        <w:rPr>
          <w:rFonts w:ascii="Times New Roman" w:hAnsi="Times New Roman" w:cs="Times New Roman"/>
          <w:sz w:val="24"/>
          <w:szCs w:val="24"/>
        </w:rPr>
      </w:pPr>
      <w:r w:rsidRPr="009C5AEB">
        <w:rPr>
          <w:rFonts w:ascii="Times New Roman" w:hAnsi="Times New Roman" w:cs="Times New Roman"/>
          <w:sz w:val="24"/>
          <w:szCs w:val="24"/>
        </w:rPr>
        <w:t>(1) the State Treasurer or designee;</w:t>
      </w:r>
    </w:p>
    <w:p w:rsidR="0075369A" w:rsidRPr="009C5AEB" w:rsidRDefault="0075369A" w:rsidP="0075369A">
      <w:pPr>
        <w:pStyle w:val="Default"/>
        <w:ind w:left="1440"/>
      </w:pPr>
      <w:r w:rsidRPr="009C5AEB">
        <w:t xml:space="preserve">(2) the Secretary of Transportation or designee; </w:t>
      </w:r>
    </w:p>
    <w:p w:rsidR="0075369A" w:rsidRPr="009C5AEB" w:rsidRDefault="0075369A" w:rsidP="0075369A">
      <w:pPr>
        <w:spacing w:after="0"/>
        <w:ind w:left="1440"/>
        <w:rPr>
          <w:rFonts w:ascii="Times New Roman" w:hAnsi="Times New Roman" w:cs="Times New Roman"/>
          <w:sz w:val="24"/>
          <w:szCs w:val="24"/>
        </w:rPr>
      </w:pPr>
      <w:r w:rsidRPr="009C5AEB">
        <w:rPr>
          <w:rFonts w:ascii="Times New Roman" w:hAnsi="Times New Roman" w:cs="Times New Roman"/>
          <w:sz w:val="24"/>
          <w:szCs w:val="24"/>
        </w:rPr>
        <w:t>(3) one member from the Vermont Municipal Clerks and Treasurers Association appointed by the Executive Board of that organization;</w:t>
      </w:r>
    </w:p>
    <w:p w:rsidR="0075369A" w:rsidRPr="009C5AEB" w:rsidRDefault="0075369A" w:rsidP="0075369A">
      <w:pPr>
        <w:pStyle w:val="Default"/>
        <w:ind w:left="1440"/>
      </w:pPr>
      <w:r w:rsidRPr="009C5AEB">
        <w:t xml:space="preserve">(4) one member from the Vermont Mayors Coalition appointed by that organization; </w:t>
      </w:r>
    </w:p>
    <w:p w:rsidR="0075369A" w:rsidRPr="009C5AEB" w:rsidRDefault="0075369A" w:rsidP="0075369A">
      <w:pPr>
        <w:pStyle w:val="Default"/>
        <w:ind w:left="1440"/>
      </w:pPr>
      <w:r w:rsidRPr="009C5AEB">
        <w:t xml:space="preserve">(5) a representative of an environmental advocacy group appointed by the Speaker of the House; </w:t>
      </w:r>
    </w:p>
    <w:p w:rsidR="0075369A" w:rsidRPr="009C5AEB" w:rsidRDefault="0075369A" w:rsidP="0075369A">
      <w:pPr>
        <w:pStyle w:val="Default"/>
        <w:ind w:left="1440"/>
      </w:pPr>
      <w:r w:rsidRPr="009C5AEB">
        <w:t xml:space="preserve">(6) a representative of the agricultural community appointed by the Vermont Association of Conservation Districts; and </w:t>
      </w:r>
    </w:p>
    <w:p w:rsidR="0075369A" w:rsidRDefault="0075369A" w:rsidP="0075369A">
      <w:pPr>
        <w:spacing w:after="0"/>
        <w:ind w:left="1440"/>
        <w:rPr>
          <w:rFonts w:ascii="Times New Roman" w:hAnsi="Times New Roman" w:cs="Times New Roman"/>
          <w:sz w:val="24"/>
          <w:szCs w:val="24"/>
        </w:rPr>
      </w:pPr>
      <w:r w:rsidRPr="009C5AEB">
        <w:rPr>
          <w:rFonts w:ascii="Times New Roman" w:hAnsi="Times New Roman" w:cs="Times New Roman"/>
          <w:sz w:val="24"/>
          <w:szCs w:val="24"/>
        </w:rPr>
        <w:t>(7) a representative of University of Vermont Extension appointed by the President Pro Tempore of the Senate.</w:t>
      </w:r>
    </w:p>
    <w:p w:rsidR="0075369A" w:rsidRPr="009C5AEB" w:rsidRDefault="0075369A" w:rsidP="0075369A">
      <w:pPr>
        <w:spacing w:after="0"/>
        <w:ind w:left="1440"/>
        <w:rPr>
          <w:rFonts w:ascii="Times New Roman" w:hAnsi="Times New Roman" w:cs="Times New Roman"/>
          <w:sz w:val="24"/>
          <w:szCs w:val="24"/>
        </w:rPr>
      </w:pPr>
    </w:p>
    <w:p w:rsidR="0075369A" w:rsidRDefault="0075369A" w:rsidP="0075369A">
      <w:pPr>
        <w:pStyle w:val="Default"/>
        <w:ind w:left="720"/>
      </w:pPr>
      <w:r w:rsidRPr="009C5AEB">
        <w:t xml:space="preserve">(d) Powers and duties. The Working Group on Water Quality Funding shall recommend to the General Assembly draft legislation to establish equitable and effective long-term funding methods to support clean water efforts in Vermont. </w:t>
      </w:r>
    </w:p>
    <w:p w:rsidR="0075369A" w:rsidRPr="009C5AEB" w:rsidRDefault="0075369A" w:rsidP="0075369A">
      <w:pPr>
        <w:pStyle w:val="Default"/>
        <w:ind w:left="720"/>
      </w:pPr>
    </w:p>
    <w:p w:rsidR="0075369A" w:rsidRDefault="0075369A" w:rsidP="0075369A">
      <w:pPr>
        <w:spacing w:after="0"/>
        <w:ind w:left="720"/>
        <w:rPr>
          <w:rFonts w:ascii="Times New Roman" w:hAnsi="Times New Roman" w:cs="Times New Roman"/>
          <w:sz w:val="24"/>
          <w:szCs w:val="24"/>
        </w:rPr>
      </w:pPr>
      <w:r w:rsidRPr="009C5AEB">
        <w:rPr>
          <w:rFonts w:ascii="Times New Roman" w:hAnsi="Times New Roman" w:cs="Times New Roman"/>
          <w:sz w:val="24"/>
          <w:szCs w:val="24"/>
        </w:rPr>
        <w:t>(e) Consultation with Advisory Council. The Working Group shall meet at least three times with the Advisory Council for input on the report to be submitted to the General Assembly under subsection (f) of this section. The Advisory Council’s comments shall be included in the final report.</w:t>
      </w:r>
    </w:p>
    <w:p w:rsidR="0075369A" w:rsidRPr="009C5AEB" w:rsidRDefault="0075369A" w:rsidP="0075369A">
      <w:pPr>
        <w:spacing w:after="0"/>
        <w:ind w:left="720"/>
        <w:rPr>
          <w:rFonts w:ascii="Times New Roman" w:hAnsi="Times New Roman" w:cs="Times New Roman"/>
          <w:sz w:val="24"/>
          <w:szCs w:val="24"/>
        </w:rPr>
      </w:pPr>
    </w:p>
    <w:p w:rsidR="0075369A" w:rsidRDefault="0075369A" w:rsidP="0075369A">
      <w:pPr>
        <w:spacing w:after="0"/>
        <w:ind w:left="720"/>
        <w:rPr>
          <w:rFonts w:ascii="Times New Roman" w:hAnsi="Times New Roman" w:cs="Times New Roman"/>
          <w:sz w:val="24"/>
          <w:szCs w:val="24"/>
        </w:rPr>
      </w:pPr>
      <w:r w:rsidRPr="009C5AEB">
        <w:rPr>
          <w:rFonts w:ascii="Times New Roman" w:hAnsi="Times New Roman" w:cs="Times New Roman"/>
          <w:sz w:val="24"/>
          <w:szCs w:val="24"/>
        </w:rPr>
        <w:t>(f) Report. On or before November 15, 2017, the Working Group on Water Quality Funding shall submit to the General Assembly a summary of its activities, an evaluation of existing sources of funding, and draft legislation to establish equitable and effective long-term funding methods to support clean water efforts in Vermont.</w:t>
      </w:r>
    </w:p>
    <w:p w:rsidR="0075369A" w:rsidRPr="009C5AEB" w:rsidRDefault="0075369A" w:rsidP="0075369A">
      <w:pPr>
        <w:spacing w:after="0"/>
        <w:ind w:left="720"/>
        <w:rPr>
          <w:rFonts w:ascii="Times New Roman" w:hAnsi="Times New Roman" w:cs="Times New Roman"/>
          <w:sz w:val="24"/>
          <w:szCs w:val="24"/>
        </w:rPr>
      </w:pPr>
    </w:p>
    <w:p w:rsidR="0075369A" w:rsidRPr="009C5AEB" w:rsidRDefault="0075369A" w:rsidP="0075369A">
      <w:pPr>
        <w:pStyle w:val="Default"/>
        <w:ind w:firstLine="720"/>
      </w:pPr>
      <w:r w:rsidRPr="009C5AEB">
        <w:t xml:space="preserve">(g) Meetings. </w:t>
      </w:r>
    </w:p>
    <w:p w:rsidR="0075369A" w:rsidRPr="009C5AEB" w:rsidRDefault="0075369A" w:rsidP="0075369A">
      <w:pPr>
        <w:pStyle w:val="Default"/>
        <w:ind w:left="1440"/>
      </w:pPr>
      <w:r w:rsidRPr="009C5AEB">
        <w:t xml:space="preserve">(1) The Secretary of Natural Resources shall call the first meeting of the Working Group to occur on or before July 1, 2017. </w:t>
      </w:r>
    </w:p>
    <w:p w:rsidR="0075369A" w:rsidRPr="009C5AEB" w:rsidRDefault="0075369A" w:rsidP="0075369A">
      <w:pPr>
        <w:pStyle w:val="Default"/>
        <w:ind w:left="1440"/>
      </w:pPr>
      <w:r w:rsidRPr="009C5AEB">
        <w:t xml:space="preserve">(2) The Secretary of Natural Resources shall be the Chair of the Working Group. </w:t>
      </w:r>
    </w:p>
    <w:p w:rsidR="0075369A" w:rsidRPr="009C5AEB" w:rsidRDefault="0075369A" w:rsidP="0075369A">
      <w:pPr>
        <w:pStyle w:val="Default"/>
        <w:ind w:left="1440"/>
      </w:pPr>
      <w:r w:rsidRPr="009C5AEB">
        <w:t xml:space="preserve">(3) A majority of the membership shall constitute a quorum. </w:t>
      </w:r>
    </w:p>
    <w:p w:rsidR="0075369A" w:rsidRPr="009C5AEB" w:rsidRDefault="0075369A" w:rsidP="0075369A">
      <w:pPr>
        <w:pStyle w:val="Default"/>
        <w:ind w:left="1440"/>
      </w:pPr>
      <w:r w:rsidRPr="009C5AEB">
        <w:t xml:space="preserve">(4) The Working Group shall cease to exist on March 1, 2018. </w:t>
      </w:r>
    </w:p>
    <w:p w:rsidR="0075369A" w:rsidRDefault="0075369A" w:rsidP="0075369A">
      <w:pPr>
        <w:spacing w:after="0"/>
        <w:ind w:left="1440"/>
        <w:rPr>
          <w:rFonts w:ascii="Times New Roman" w:hAnsi="Times New Roman" w:cs="Times New Roman"/>
          <w:sz w:val="24"/>
          <w:szCs w:val="24"/>
        </w:rPr>
      </w:pPr>
      <w:r w:rsidRPr="009C5AEB">
        <w:rPr>
          <w:rFonts w:ascii="Times New Roman" w:hAnsi="Times New Roman" w:cs="Times New Roman"/>
          <w:sz w:val="24"/>
          <w:szCs w:val="24"/>
        </w:rPr>
        <w:t>(5) No specific state appropriations shall be used to support the working group or advisory council.</w:t>
      </w:r>
    </w:p>
    <w:p w:rsidR="0075369A" w:rsidRPr="009C5AEB" w:rsidRDefault="0075369A" w:rsidP="0075369A">
      <w:pPr>
        <w:spacing w:after="0"/>
        <w:ind w:left="1440"/>
        <w:rPr>
          <w:rFonts w:ascii="Times New Roman" w:hAnsi="Times New Roman" w:cs="Times New Roman"/>
          <w:sz w:val="24"/>
          <w:szCs w:val="24"/>
        </w:rPr>
      </w:pPr>
    </w:p>
    <w:p w:rsidR="0075369A" w:rsidRDefault="0075369A" w:rsidP="0075369A">
      <w:pPr>
        <w:spacing w:after="0"/>
        <w:ind w:left="720"/>
        <w:rPr>
          <w:rFonts w:ascii="Times New Roman" w:hAnsi="Times New Roman" w:cs="Times New Roman"/>
          <w:sz w:val="24"/>
          <w:szCs w:val="24"/>
        </w:rPr>
      </w:pPr>
      <w:r w:rsidRPr="009C5AEB">
        <w:rPr>
          <w:rFonts w:ascii="Times New Roman" w:hAnsi="Times New Roman" w:cs="Times New Roman"/>
          <w:sz w:val="24"/>
          <w:szCs w:val="24"/>
        </w:rPr>
        <w:t>(h) Assistance. The Working Group on Water Quality Funding shall have the administrative, technical, and legal assistance of the Agency of Natural Resources and the Department of Taxes. The Working Group on Water Quality Funding shall have the technical assistance of the Vermont Center for Geographic Information or designee.</w:t>
      </w:r>
    </w:p>
    <w:p w:rsidR="004B32F6" w:rsidRDefault="004B32F6" w:rsidP="00BB53D1">
      <w:pPr>
        <w:rPr>
          <w:rFonts w:ascii="Times New Roman" w:hAnsi="Times New Roman" w:cs="Times New Roman"/>
          <w:sz w:val="24"/>
          <w:szCs w:val="24"/>
        </w:rPr>
        <w:sectPr w:rsidR="004B32F6">
          <w:footerReference w:type="default" r:id="rId7"/>
          <w:pgSz w:w="12240" w:h="15840"/>
          <w:pgMar w:top="1440" w:right="1440" w:bottom="1440" w:left="1440" w:header="720" w:footer="720" w:gutter="0"/>
          <w:cols w:space="720"/>
          <w:docGrid w:linePitch="360"/>
        </w:sectPr>
      </w:pPr>
    </w:p>
    <w:p w:rsidR="004C17F3" w:rsidRDefault="004C17F3" w:rsidP="004C17F3">
      <w:pPr>
        <w:rPr>
          <w:b/>
          <w:sz w:val="28"/>
          <w:szCs w:val="28"/>
        </w:rPr>
      </w:pPr>
      <w:r w:rsidRPr="004C17F3">
        <w:lastRenderedPageBreak/>
        <w:drawing>
          <wp:inline distT="0" distB="0" distL="0" distR="0" wp14:anchorId="4F975AEB" wp14:editId="37EA6DFE">
            <wp:extent cx="8135620" cy="634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35620" cy="6343650"/>
                    </a:xfrm>
                    <a:prstGeom prst="rect">
                      <a:avLst/>
                    </a:prstGeom>
                  </pic:spPr>
                </pic:pic>
              </a:graphicData>
            </a:graphic>
          </wp:inline>
        </w:drawing>
      </w:r>
    </w:p>
    <w:p w:rsidR="004B32F6" w:rsidRPr="00105F59" w:rsidRDefault="004B32F6" w:rsidP="004B32F6">
      <w:pPr>
        <w:jc w:val="center"/>
        <w:rPr>
          <w:b/>
          <w:sz w:val="28"/>
          <w:szCs w:val="28"/>
        </w:rPr>
      </w:pPr>
      <w:r w:rsidRPr="00105F59">
        <w:rPr>
          <w:b/>
          <w:sz w:val="28"/>
          <w:szCs w:val="28"/>
        </w:rPr>
        <w:lastRenderedPageBreak/>
        <w:t>Treasurer’s Report – Tier I Gap (By Sector)</w:t>
      </w:r>
    </w:p>
    <w:p w:rsidR="004B32F6" w:rsidRPr="00105F59" w:rsidRDefault="004B32F6" w:rsidP="004B32F6">
      <w:pPr>
        <w:jc w:val="center"/>
        <w:rPr>
          <w:b/>
          <w:sz w:val="28"/>
          <w:szCs w:val="28"/>
        </w:rPr>
      </w:pPr>
      <w:r w:rsidRPr="00105F59">
        <w:rPr>
          <w:b/>
          <w:sz w:val="28"/>
          <w:szCs w:val="28"/>
        </w:rPr>
        <w:t>Annualized Average over 20 Years</w:t>
      </w:r>
    </w:p>
    <w:p w:rsidR="004B32F6" w:rsidRDefault="004B32F6" w:rsidP="004B32F6"/>
    <w:p w:rsidR="004B32F6" w:rsidRDefault="004B32F6" w:rsidP="004B32F6">
      <w:r>
        <w:rPr>
          <w:noProof/>
        </w:rPr>
        <w:drawing>
          <wp:inline distT="0" distB="0" distL="0" distR="0" wp14:anchorId="5B2FDFD2" wp14:editId="56AA5760">
            <wp:extent cx="7554686" cy="415301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280" cy="4165433"/>
                    </a:xfrm>
                    <a:prstGeom prst="rect">
                      <a:avLst/>
                    </a:prstGeom>
                    <a:noFill/>
                  </pic:spPr>
                </pic:pic>
              </a:graphicData>
            </a:graphic>
          </wp:inline>
        </w:drawing>
      </w:r>
    </w:p>
    <w:p w:rsidR="004B32F6" w:rsidRDefault="004B32F6" w:rsidP="004B32F6"/>
    <w:p w:rsidR="004B32F6" w:rsidRDefault="004B32F6" w:rsidP="004B32F6">
      <w:pPr>
        <w:rPr>
          <w:b/>
          <w:color w:val="000000" w:themeColor="text1"/>
        </w:rPr>
      </w:pPr>
      <w:r>
        <w:rPr>
          <w:color w:val="000000" w:themeColor="text1"/>
        </w:rPr>
        <w:t xml:space="preserve">Tier I costs were estimated at $82.2 million a year; revenues were estimated at $33.7 million; leaving an annualized average gap in Tier I </w:t>
      </w:r>
      <w:proofErr w:type="gramStart"/>
      <w:r>
        <w:rPr>
          <w:color w:val="000000" w:themeColor="text1"/>
        </w:rPr>
        <w:t>funding</w:t>
      </w:r>
      <w:proofErr w:type="gramEnd"/>
      <w:r>
        <w:rPr>
          <w:color w:val="000000" w:themeColor="text1"/>
        </w:rPr>
        <w:t xml:space="preserve"> of $48.5 million ($6.14 + $16.01 + $24.13 + $2.55).  Following the Treasurer’s recommendation, Governor Phil Scott proposed to fill half of this gap.  </w:t>
      </w:r>
      <w:r>
        <w:rPr>
          <w:b/>
          <w:color w:val="000000" w:themeColor="text1"/>
        </w:rPr>
        <w:t>Using</w:t>
      </w:r>
      <w:r w:rsidRPr="0006212B">
        <w:rPr>
          <w:b/>
          <w:color w:val="000000" w:themeColor="text1"/>
        </w:rPr>
        <w:t xml:space="preserve"> general obligation bonds and federal highway funds, the Legislature appropriated </w:t>
      </w:r>
      <w:r>
        <w:rPr>
          <w:b/>
          <w:color w:val="000000" w:themeColor="text1"/>
        </w:rPr>
        <w:t xml:space="preserve">a total of </w:t>
      </w:r>
      <w:r w:rsidRPr="0006212B">
        <w:rPr>
          <w:b/>
          <w:color w:val="000000" w:themeColor="text1"/>
        </w:rPr>
        <w:t xml:space="preserve">$53.8 million for clean water in FY18.  </w:t>
      </w:r>
    </w:p>
    <w:p w:rsidR="004B32F6" w:rsidRPr="0006212B" w:rsidRDefault="004B32F6" w:rsidP="004B32F6">
      <w:pPr>
        <w:rPr>
          <w:b/>
          <w:color w:val="000000" w:themeColor="text1"/>
        </w:rPr>
      </w:pPr>
    </w:p>
    <w:p w:rsidR="004B32F6" w:rsidRPr="00105F59" w:rsidRDefault="004B32F6" w:rsidP="004B32F6">
      <w:pPr>
        <w:jc w:val="center"/>
        <w:rPr>
          <w:b/>
          <w:sz w:val="28"/>
          <w:szCs w:val="28"/>
        </w:rPr>
      </w:pPr>
      <w:r w:rsidRPr="00105F59">
        <w:rPr>
          <w:b/>
          <w:sz w:val="28"/>
          <w:szCs w:val="28"/>
        </w:rPr>
        <w:t xml:space="preserve">Treasurer’s Report - Tier I Gap (By </w:t>
      </w:r>
      <w:r w:rsidR="002A0023">
        <w:rPr>
          <w:b/>
          <w:sz w:val="28"/>
          <w:szCs w:val="28"/>
        </w:rPr>
        <w:t>Type</w:t>
      </w:r>
      <w:bookmarkStart w:id="0" w:name="_GoBack"/>
      <w:bookmarkEnd w:id="0"/>
      <w:r w:rsidR="002A0023">
        <w:rPr>
          <w:b/>
          <w:sz w:val="28"/>
          <w:szCs w:val="28"/>
        </w:rPr>
        <w:t xml:space="preserve"> of Property </w:t>
      </w:r>
      <w:r w:rsidRPr="00105F59">
        <w:rPr>
          <w:b/>
          <w:sz w:val="28"/>
          <w:szCs w:val="28"/>
        </w:rPr>
        <w:t>Owner</w:t>
      </w:r>
      <w:r w:rsidR="002A0023">
        <w:rPr>
          <w:b/>
          <w:sz w:val="28"/>
          <w:szCs w:val="28"/>
        </w:rPr>
        <w:t>)</w:t>
      </w:r>
    </w:p>
    <w:p w:rsidR="004B32F6" w:rsidRDefault="004B32F6" w:rsidP="004B32F6">
      <w:pPr>
        <w:jc w:val="center"/>
      </w:pPr>
      <w:r w:rsidRPr="00105F59">
        <w:rPr>
          <w:b/>
          <w:sz w:val="28"/>
          <w:szCs w:val="28"/>
        </w:rPr>
        <w:t>Annualized Average over 20 years</w:t>
      </w:r>
    </w:p>
    <w:p w:rsidR="004B32F6" w:rsidRDefault="004B32F6" w:rsidP="004B32F6">
      <w:r>
        <w:rPr>
          <w:noProof/>
        </w:rPr>
        <w:drawing>
          <wp:inline distT="0" distB="0" distL="0" distR="0" wp14:anchorId="5FE6E0C7" wp14:editId="374A2981">
            <wp:extent cx="8229600" cy="3599815"/>
            <wp:effectExtent l="0" t="0" r="0" b="635"/>
            <wp:docPr id="4" name="Chart 4">
              <a:extLst xmlns:a="http://schemas.openxmlformats.org/drawingml/2006/main">
                <a:ext uri="{FF2B5EF4-FFF2-40B4-BE49-F238E27FC236}">
                  <a16:creationId xmlns:a16="http://schemas.microsoft.com/office/drawing/2014/main" id="{5C50BBE5-F05D-4700-890E-B7FF8F9060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4B32F6" w:rsidTr="00EC08D6">
        <w:tc>
          <w:tcPr>
            <w:tcW w:w="4316" w:type="dxa"/>
            <w:tcBorders>
              <w:bottom w:val="dotted" w:sz="4" w:space="0" w:color="auto"/>
            </w:tcBorders>
            <w:shd w:val="clear" w:color="auto" w:fill="auto"/>
          </w:tcPr>
          <w:p w:rsidR="004B32F6" w:rsidRDefault="004B32F6" w:rsidP="00EC08D6">
            <w:r>
              <w:t>Sector</w:t>
            </w:r>
          </w:p>
        </w:tc>
        <w:tc>
          <w:tcPr>
            <w:tcW w:w="4317" w:type="dxa"/>
            <w:tcBorders>
              <w:bottom w:val="dotted" w:sz="4" w:space="0" w:color="auto"/>
            </w:tcBorders>
            <w:shd w:val="clear" w:color="auto" w:fill="auto"/>
          </w:tcPr>
          <w:p w:rsidR="004B32F6" w:rsidRDefault="004B32F6" w:rsidP="00EC08D6">
            <w:r>
              <w:t>Land Owner Type</w:t>
            </w:r>
          </w:p>
        </w:tc>
        <w:tc>
          <w:tcPr>
            <w:tcW w:w="4317" w:type="dxa"/>
            <w:tcBorders>
              <w:bottom w:val="dotted" w:sz="4" w:space="0" w:color="auto"/>
            </w:tcBorders>
            <w:shd w:val="clear" w:color="auto" w:fill="auto"/>
          </w:tcPr>
          <w:p w:rsidR="004B32F6" w:rsidRDefault="004B32F6" w:rsidP="00EC08D6">
            <w:r>
              <w:t>Capital Bill Eligible?</w:t>
            </w:r>
          </w:p>
        </w:tc>
      </w:tr>
      <w:tr w:rsidR="004B32F6" w:rsidTr="00EC08D6">
        <w:tc>
          <w:tcPr>
            <w:tcW w:w="4316"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Municipal Waste Water Control</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Municipality</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Yes</w:t>
            </w:r>
          </w:p>
        </w:tc>
      </w:tr>
      <w:tr w:rsidR="004B32F6" w:rsidTr="00EC08D6">
        <w:tc>
          <w:tcPr>
            <w:tcW w:w="4316"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proofErr w:type="spellStart"/>
            <w:r>
              <w:t>Stormwater</w:t>
            </w:r>
            <w:proofErr w:type="spellEnd"/>
            <w:r>
              <w:t xml:space="preserve"> - Municipal Roads</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Municipality</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Yes</w:t>
            </w:r>
          </w:p>
        </w:tc>
      </w:tr>
      <w:tr w:rsidR="004B32F6" w:rsidTr="00EC08D6">
        <w:tc>
          <w:tcPr>
            <w:tcW w:w="4316"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proofErr w:type="spellStart"/>
            <w:r>
              <w:t>Stormwater</w:t>
            </w:r>
            <w:proofErr w:type="spellEnd"/>
            <w:r>
              <w:t xml:space="preserve"> – Municipal Developed Lands*</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Municipality</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Yes (planning is not eligible)</w:t>
            </w:r>
          </w:p>
        </w:tc>
      </w:tr>
      <w:tr w:rsidR="004B32F6" w:rsidTr="00EC08D6">
        <w:tc>
          <w:tcPr>
            <w:tcW w:w="4316"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proofErr w:type="spellStart"/>
            <w:r>
              <w:t>Stormwater</w:t>
            </w:r>
            <w:proofErr w:type="spellEnd"/>
            <w:r>
              <w:t xml:space="preserve"> – State Highways</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State</w:t>
            </w:r>
          </w:p>
        </w:tc>
        <w:tc>
          <w:tcPr>
            <w:tcW w:w="4317" w:type="dxa"/>
            <w:tcBorders>
              <w:top w:val="dotted" w:sz="4" w:space="0" w:color="auto"/>
              <w:left w:val="dotted" w:sz="4" w:space="0" w:color="auto"/>
              <w:bottom w:val="dotted" w:sz="4" w:space="0" w:color="auto"/>
              <w:right w:val="dotted" w:sz="4" w:space="0" w:color="auto"/>
            </w:tcBorders>
            <w:shd w:val="clear" w:color="auto" w:fill="auto"/>
          </w:tcPr>
          <w:p w:rsidR="004B32F6" w:rsidRDefault="004B32F6" w:rsidP="00EC08D6">
            <w:r>
              <w:t>No</w:t>
            </w:r>
          </w:p>
        </w:tc>
      </w:tr>
      <w:tr w:rsidR="004B32F6" w:rsidTr="00EC08D6">
        <w:tc>
          <w:tcPr>
            <w:tcW w:w="4316" w:type="dxa"/>
            <w:tcBorders>
              <w:top w:val="dotted" w:sz="4" w:space="0" w:color="auto"/>
              <w:left w:val="dotted" w:sz="4" w:space="0" w:color="auto"/>
              <w:bottom w:val="dotted" w:sz="4" w:space="0" w:color="auto"/>
              <w:right w:val="dotted" w:sz="4" w:space="0" w:color="auto"/>
            </w:tcBorders>
          </w:tcPr>
          <w:p w:rsidR="004B32F6" w:rsidRDefault="004B32F6" w:rsidP="00EC08D6">
            <w:proofErr w:type="spellStart"/>
            <w:r>
              <w:t>Stormwater</w:t>
            </w:r>
            <w:proofErr w:type="spellEnd"/>
            <w:r>
              <w:t xml:space="preserve"> – Private Land</w:t>
            </w:r>
          </w:p>
        </w:tc>
        <w:tc>
          <w:tcPr>
            <w:tcW w:w="4317" w:type="dxa"/>
            <w:tcBorders>
              <w:top w:val="dotted" w:sz="4" w:space="0" w:color="auto"/>
              <w:left w:val="dotted" w:sz="4" w:space="0" w:color="auto"/>
              <w:bottom w:val="dotted" w:sz="4" w:space="0" w:color="auto"/>
              <w:right w:val="dotted" w:sz="4" w:space="0" w:color="auto"/>
            </w:tcBorders>
          </w:tcPr>
          <w:p w:rsidR="004B32F6" w:rsidRDefault="004B32F6" w:rsidP="00EC08D6">
            <w:r>
              <w:t>Private</w:t>
            </w:r>
          </w:p>
        </w:tc>
        <w:tc>
          <w:tcPr>
            <w:tcW w:w="4317" w:type="dxa"/>
            <w:tcBorders>
              <w:top w:val="dotted" w:sz="4" w:space="0" w:color="auto"/>
              <w:left w:val="dotted" w:sz="4" w:space="0" w:color="auto"/>
              <w:bottom w:val="dotted" w:sz="4" w:space="0" w:color="auto"/>
              <w:right w:val="dotted" w:sz="4" w:space="0" w:color="auto"/>
            </w:tcBorders>
          </w:tcPr>
          <w:p w:rsidR="004B32F6" w:rsidRDefault="004B32F6" w:rsidP="00EC08D6">
            <w:r>
              <w:t>Eligible only if municipally sponsored (MS4)</w:t>
            </w:r>
          </w:p>
        </w:tc>
      </w:tr>
      <w:tr w:rsidR="004B32F6" w:rsidTr="00EC08D6">
        <w:tc>
          <w:tcPr>
            <w:tcW w:w="4316" w:type="dxa"/>
            <w:tcBorders>
              <w:top w:val="dotted" w:sz="4" w:space="0" w:color="auto"/>
              <w:left w:val="dotted" w:sz="4" w:space="0" w:color="auto"/>
              <w:bottom w:val="dotted" w:sz="4" w:space="0" w:color="auto"/>
              <w:right w:val="dotted" w:sz="4" w:space="0" w:color="auto"/>
            </w:tcBorders>
          </w:tcPr>
          <w:p w:rsidR="004B32F6" w:rsidRDefault="004B32F6" w:rsidP="00EC08D6">
            <w:r>
              <w:t>Agriculture</w:t>
            </w:r>
          </w:p>
        </w:tc>
        <w:tc>
          <w:tcPr>
            <w:tcW w:w="4317" w:type="dxa"/>
            <w:tcBorders>
              <w:top w:val="dotted" w:sz="4" w:space="0" w:color="auto"/>
              <w:left w:val="dotted" w:sz="4" w:space="0" w:color="auto"/>
              <w:bottom w:val="dotted" w:sz="4" w:space="0" w:color="auto"/>
              <w:right w:val="dotted" w:sz="4" w:space="0" w:color="auto"/>
            </w:tcBorders>
          </w:tcPr>
          <w:p w:rsidR="004B32F6" w:rsidRDefault="004B32F6" w:rsidP="00EC08D6">
            <w:r>
              <w:t>Farmers</w:t>
            </w:r>
          </w:p>
        </w:tc>
        <w:tc>
          <w:tcPr>
            <w:tcW w:w="4317" w:type="dxa"/>
            <w:tcBorders>
              <w:top w:val="dotted" w:sz="4" w:space="0" w:color="auto"/>
              <w:left w:val="dotted" w:sz="4" w:space="0" w:color="auto"/>
              <w:bottom w:val="dotted" w:sz="4" w:space="0" w:color="auto"/>
              <w:right w:val="dotted" w:sz="4" w:space="0" w:color="auto"/>
            </w:tcBorders>
          </w:tcPr>
          <w:p w:rsidR="004B32F6" w:rsidRDefault="004B32F6" w:rsidP="00EC08D6">
            <w:r>
              <w:t>Limited</w:t>
            </w:r>
          </w:p>
        </w:tc>
      </w:tr>
      <w:tr w:rsidR="004B32F6" w:rsidTr="00EC08D6">
        <w:trPr>
          <w:trHeight w:val="89"/>
        </w:trPr>
        <w:tc>
          <w:tcPr>
            <w:tcW w:w="4316" w:type="dxa"/>
            <w:tcBorders>
              <w:top w:val="dotted" w:sz="4" w:space="0" w:color="auto"/>
              <w:left w:val="dotted" w:sz="4" w:space="0" w:color="auto"/>
              <w:bottom w:val="dotted" w:sz="4" w:space="0" w:color="auto"/>
              <w:right w:val="dotted" w:sz="4" w:space="0" w:color="auto"/>
            </w:tcBorders>
          </w:tcPr>
          <w:p w:rsidR="004B32F6" w:rsidRDefault="004B32F6" w:rsidP="00EC08D6">
            <w:r>
              <w:t>Natural Resources</w:t>
            </w:r>
          </w:p>
        </w:tc>
        <w:tc>
          <w:tcPr>
            <w:tcW w:w="4317" w:type="dxa"/>
            <w:tcBorders>
              <w:top w:val="dotted" w:sz="4" w:space="0" w:color="auto"/>
              <w:left w:val="dotted" w:sz="4" w:space="0" w:color="auto"/>
              <w:bottom w:val="dotted" w:sz="4" w:space="0" w:color="auto"/>
              <w:right w:val="dotted" w:sz="4" w:space="0" w:color="auto"/>
            </w:tcBorders>
          </w:tcPr>
          <w:p w:rsidR="004B32F6" w:rsidRDefault="004B32F6" w:rsidP="00EC08D6">
            <w:r>
              <w:t>All Types</w:t>
            </w:r>
          </w:p>
        </w:tc>
        <w:tc>
          <w:tcPr>
            <w:tcW w:w="4317" w:type="dxa"/>
            <w:tcBorders>
              <w:top w:val="dotted" w:sz="4" w:space="0" w:color="auto"/>
              <w:left w:val="dotted" w:sz="4" w:space="0" w:color="auto"/>
              <w:bottom w:val="dotted" w:sz="4" w:space="0" w:color="auto"/>
              <w:right w:val="dotted" w:sz="4" w:space="0" w:color="auto"/>
            </w:tcBorders>
          </w:tcPr>
          <w:p w:rsidR="004B32F6" w:rsidRDefault="004B32F6" w:rsidP="00EC08D6">
            <w:r>
              <w:t>Yes</w:t>
            </w:r>
          </w:p>
        </w:tc>
      </w:tr>
    </w:tbl>
    <w:p w:rsidR="004B32F6" w:rsidRDefault="004B32F6" w:rsidP="004B32F6">
      <w:pPr>
        <w:spacing w:after="0"/>
      </w:pPr>
    </w:p>
    <w:p w:rsidR="004B32F6" w:rsidRDefault="004B32F6" w:rsidP="004B32F6">
      <w:pPr>
        <w:spacing w:after="0"/>
      </w:pPr>
      <w:r>
        <w:t xml:space="preserve">*Assumes that DEC’s Ecosystem Restoration Fund will receive Capital Bill monies each year ($3.1 million annual average) to pay municipal costs to pay for </w:t>
      </w:r>
      <w:proofErr w:type="spellStart"/>
      <w:r>
        <w:t>stormwater</w:t>
      </w:r>
      <w:proofErr w:type="spellEnd"/>
      <w:r>
        <w:t xml:space="preserve"> retrofits of impervious surfaces greater than 3 acres.</w:t>
      </w:r>
    </w:p>
    <w:p w:rsidR="004B32F6" w:rsidRDefault="004B32F6" w:rsidP="004B32F6">
      <w:pPr>
        <w:jc w:val="center"/>
        <w:rPr>
          <w:b/>
          <w:sz w:val="28"/>
          <w:szCs w:val="28"/>
        </w:rPr>
      </w:pPr>
      <w:r>
        <w:rPr>
          <w:b/>
          <w:sz w:val="28"/>
          <w:szCs w:val="28"/>
        </w:rPr>
        <w:t xml:space="preserve">FY18 TREASURER’S REPORT ESTIMATED COSTS &amp; </w:t>
      </w:r>
    </w:p>
    <w:p w:rsidR="004B32F6" w:rsidRDefault="004B32F6" w:rsidP="004B32F6">
      <w:pPr>
        <w:jc w:val="center"/>
        <w:rPr>
          <w:b/>
          <w:sz w:val="28"/>
          <w:szCs w:val="28"/>
        </w:rPr>
      </w:pPr>
      <w:r>
        <w:rPr>
          <w:b/>
          <w:sz w:val="28"/>
          <w:szCs w:val="28"/>
        </w:rPr>
        <w:t>FY18 STATE APPROPRIATIONS (DRAFT AS OF 4/7/2017)</w:t>
      </w:r>
    </w:p>
    <w:p w:rsidR="004B32F6" w:rsidRDefault="004B32F6" w:rsidP="004B32F6">
      <w:pPr>
        <w:rPr>
          <w:b/>
          <w:sz w:val="28"/>
          <w:szCs w:val="28"/>
        </w:rPr>
      </w:pPr>
      <w:r>
        <w:rPr>
          <w:noProof/>
        </w:rPr>
        <w:drawing>
          <wp:inline distT="0" distB="0" distL="0" distR="0" wp14:anchorId="33271354" wp14:editId="7D1D52B5">
            <wp:extent cx="8185785" cy="4136027"/>
            <wp:effectExtent l="0" t="0" r="5715" b="17145"/>
            <wp:docPr id="6" name="Chart 6">
              <a:extLst xmlns:a="http://schemas.openxmlformats.org/drawingml/2006/main">
                <a:ext uri="{FF2B5EF4-FFF2-40B4-BE49-F238E27FC236}">
                  <a16:creationId xmlns:a16="http://schemas.microsoft.com/office/drawing/2014/main" id="{1A36BA72-D225-42A0-B7AD-F08D5A0BB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32F6" w:rsidRDefault="004B32F6" w:rsidP="004B32F6">
      <w:pPr>
        <w:spacing w:after="0"/>
        <w:rPr>
          <w:sz w:val="28"/>
          <w:szCs w:val="28"/>
        </w:rPr>
      </w:pPr>
      <w:r>
        <w:rPr>
          <w:sz w:val="28"/>
          <w:szCs w:val="28"/>
        </w:rPr>
        <w:t xml:space="preserve">Treasurer’s estimated costs (red bars) are based on what </w:t>
      </w:r>
      <w:r w:rsidRPr="00EB7B65">
        <w:rPr>
          <w:sz w:val="28"/>
          <w:szCs w:val="28"/>
          <w:u w:val="single"/>
        </w:rPr>
        <w:t>should</w:t>
      </w:r>
      <w:r>
        <w:rPr>
          <w:sz w:val="28"/>
          <w:szCs w:val="28"/>
        </w:rPr>
        <w:t xml:space="preserve"> be spent in FY18 </w:t>
      </w:r>
      <w:proofErr w:type="gramStart"/>
      <w:r>
        <w:rPr>
          <w:sz w:val="28"/>
          <w:szCs w:val="28"/>
        </w:rPr>
        <w:t>in order to</w:t>
      </w:r>
      <w:proofErr w:type="gramEnd"/>
      <w:r>
        <w:rPr>
          <w:sz w:val="28"/>
          <w:szCs w:val="28"/>
        </w:rPr>
        <w:t xml:space="preserve"> comply with TMDLs and state regulatory requirements.  Funding and capacity constraints affect actual spending (blue bars). Earlier graphs show annualized average over 20 years; this graph shows Treasurer’s estimated FY18 costs. Where revenues exceed costs (mostly municipal roads), state will gain early compliance.</w:t>
      </w:r>
    </w:p>
    <w:p w:rsidR="004B32F6" w:rsidRDefault="004B32F6" w:rsidP="004B32F6">
      <w:pPr>
        <w:spacing w:after="0"/>
        <w:rPr>
          <w:sz w:val="28"/>
          <w:szCs w:val="28"/>
        </w:rPr>
      </w:pPr>
    </w:p>
    <w:p w:rsidR="004B32F6" w:rsidRPr="00EB7B65" w:rsidRDefault="004B32F6" w:rsidP="004B32F6">
      <w:pPr>
        <w:spacing w:after="0"/>
        <w:rPr>
          <w:sz w:val="28"/>
          <w:szCs w:val="28"/>
        </w:rPr>
      </w:pPr>
      <w:r>
        <w:rPr>
          <w:sz w:val="28"/>
          <w:szCs w:val="28"/>
        </w:rPr>
        <w:t>Revenues = $53.8 million in state budget (federal and state funds) + $5 million in USDA NRCS funds.</w:t>
      </w:r>
    </w:p>
    <w:p w:rsidR="00F64463" w:rsidRPr="007B7688" w:rsidRDefault="00F64463" w:rsidP="00BB53D1">
      <w:pPr>
        <w:sectPr w:rsidR="00F64463" w:rsidRPr="007B7688" w:rsidSect="00F64463">
          <w:footerReference w:type="default" r:id="rId12"/>
          <w:pgSz w:w="15840" w:h="12240" w:orient="landscape"/>
          <w:pgMar w:top="810" w:right="1440" w:bottom="900" w:left="1440" w:header="720" w:footer="720" w:gutter="0"/>
          <w:cols w:space="720"/>
          <w:docGrid w:linePitch="360"/>
        </w:sectPr>
      </w:pPr>
    </w:p>
    <w:p w:rsidR="00F64463" w:rsidRDefault="00F64463" w:rsidP="00F64463">
      <w:pPr>
        <w:jc w:val="center"/>
        <w:rPr>
          <w:b/>
          <w:sz w:val="28"/>
          <w:szCs w:val="28"/>
        </w:rPr>
      </w:pPr>
    </w:p>
    <w:p w:rsidR="00F64463" w:rsidRDefault="00F64463" w:rsidP="00F64463">
      <w:pPr>
        <w:jc w:val="center"/>
        <w:rPr>
          <w:b/>
          <w:sz w:val="28"/>
          <w:szCs w:val="28"/>
        </w:rPr>
      </w:pPr>
      <w:r>
        <w:rPr>
          <w:b/>
          <w:sz w:val="28"/>
          <w:szCs w:val="28"/>
        </w:rPr>
        <w:t xml:space="preserve">REPORT OF THE </w:t>
      </w:r>
    </w:p>
    <w:p w:rsidR="00F64463" w:rsidRDefault="00F64463" w:rsidP="00F64463">
      <w:pPr>
        <w:jc w:val="center"/>
        <w:rPr>
          <w:b/>
          <w:sz w:val="28"/>
          <w:szCs w:val="28"/>
        </w:rPr>
      </w:pPr>
      <w:r>
        <w:rPr>
          <w:b/>
          <w:sz w:val="28"/>
          <w:szCs w:val="28"/>
        </w:rPr>
        <w:t>WORKING GROUP ON WATER QUALITY FUNDING</w:t>
      </w:r>
    </w:p>
    <w:p w:rsidR="00F64463" w:rsidRDefault="00F64463" w:rsidP="00F64463">
      <w:pPr>
        <w:jc w:val="center"/>
        <w:outlineLvl w:val="0"/>
        <w:rPr>
          <w:b/>
          <w:sz w:val="28"/>
          <w:szCs w:val="28"/>
        </w:rPr>
      </w:pPr>
      <w:r>
        <w:rPr>
          <w:b/>
          <w:sz w:val="28"/>
          <w:szCs w:val="28"/>
        </w:rPr>
        <w:t>H.516, SECTION 26</w:t>
      </w:r>
    </w:p>
    <w:p w:rsidR="00F64463" w:rsidRDefault="00F64463" w:rsidP="00F64463">
      <w:pPr>
        <w:jc w:val="center"/>
        <w:outlineLvl w:val="0"/>
        <w:rPr>
          <w:sz w:val="28"/>
          <w:szCs w:val="28"/>
        </w:rPr>
      </w:pPr>
    </w:p>
    <w:p w:rsidR="00F64463" w:rsidRDefault="00F64463" w:rsidP="00F64463">
      <w:pPr>
        <w:jc w:val="center"/>
        <w:outlineLvl w:val="0"/>
        <w:rPr>
          <w:b/>
          <w:sz w:val="28"/>
          <w:szCs w:val="28"/>
        </w:rPr>
      </w:pPr>
      <w:bookmarkStart w:id="1" w:name="_Toc212533511"/>
      <w:bookmarkStart w:id="2" w:name="_Toc212532839"/>
      <w:r>
        <w:rPr>
          <w:b/>
          <w:sz w:val="28"/>
          <w:szCs w:val="28"/>
        </w:rPr>
        <w:t>Submitted to the</w:t>
      </w:r>
      <w:bookmarkEnd w:id="1"/>
      <w:bookmarkEnd w:id="2"/>
    </w:p>
    <w:p w:rsidR="00F64463" w:rsidRDefault="00F64463" w:rsidP="00F64463">
      <w:pPr>
        <w:jc w:val="center"/>
        <w:outlineLvl w:val="0"/>
        <w:rPr>
          <w:b/>
          <w:sz w:val="28"/>
          <w:szCs w:val="28"/>
        </w:rPr>
      </w:pPr>
      <w:r>
        <w:rPr>
          <w:b/>
          <w:sz w:val="28"/>
          <w:szCs w:val="28"/>
        </w:rPr>
        <w:t>General Assembly</w:t>
      </w:r>
    </w:p>
    <w:p w:rsidR="00F64463" w:rsidRDefault="00F64463" w:rsidP="00F64463">
      <w:pPr>
        <w:jc w:val="center"/>
        <w:outlineLvl w:val="0"/>
        <w:rPr>
          <w:b/>
          <w:sz w:val="28"/>
          <w:szCs w:val="28"/>
        </w:rPr>
      </w:pPr>
      <w:bookmarkStart w:id="3" w:name="_Toc212533512"/>
      <w:bookmarkStart w:id="4" w:name="_Toc212532840"/>
      <w:bookmarkStart w:id="5" w:name="_Toc212533513"/>
      <w:bookmarkStart w:id="6" w:name="_Toc212532841"/>
      <w:r>
        <w:rPr>
          <w:b/>
          <w:sz w:val="28"/>
          <w:szCs w:val="28"/>
        </w:rPr>
        <w:t>by the</w:t>
      </w:r>
    </w:p>
    <w:p w:rsidR="00F64463" w:rsidRDefault="00F64463" w:rsidP="00F64463">
      <w:pPr>
        <w:jc w:val="center"/>
        <w:outlineLvl w:val="0"/>
        <w:rPr>
          <w:sz w:val="28"/>
          <w:szCs w:val="28"/>
        </w:rPr>
      </w:pPr>
    </w:p>
    <w:bookmarkEnd w:id="3"/>
    <w:bookmarkEnd w:id="4"/>
    <w:bookmarkEnd w:id="5"/>
    <w:bookmarkEnd w:id="6"/>
    <w:p w:rsidR="00F64463" w:rsidRDefault="00F64463" w:rsidP="00F64463">
      <w:pPr>
        <w:jc w:val="center"/>
        <w:rPr>
          <w:b/>
          <w:sz w:val="28"/>
          <w:szCs w:val="28"/>
        </w:rPr>
      </w:pPr>
      <w:r>
        <w:rPr>
          <w:b/>
          <w:sz w:val="28"/>
          <w:szCs w:val="28"/>
        </w:rPr>
        <w:t>Vermont Agency of Natural Resources</w:t>
      </w:r>
    </w:p>
    <w:p w:rsidR="00F64463" w:rsidRDefault="00F64463" w:rsidP="00F64463">
      <w:pPr>
        <w:jc w:val="center"/>
        <w:rPr>
          <w:sz w:val="28"/>
          <w:szCs w:val="28"/>
        </w:rPr>
      </w:pPr>
    </w:p>
    <w:p w:rsidR="00F64463" w:rsidRDefault="00F64463" w:rsidP="00F64463">
      <w:pPr>
        <w:jc w:val="center"/>
        <w:rPr>
          <w:sz w:val="28"/>
          <w:szCs w:val="28"/>
        </w:rPr>
      </w:pPr>
    </w:p>
    <w:p w:rsidR="00F64463" w:rsidRDefault="00F64463" w:rsidP="00F64463">
      <w:pPr>
        <w:jc w:val="center"/>
        <w:rPr>
          <w:b/>
          <w:sz w:val="28"/>
          <w:szCs w:val="28"/>
        </w:rPr>
      </w:pPr>
      <w:r>
        <w:rPr>
          <w:b/>
          <w:sz w:val="28"/>
          <w:szCs w:val="28"/>
        </w:rPr>
        <w:t>November 15, 2017</w:t>
      </w:r>
    </w:p>
    <w:p w:rsidR="00F64463" w:rsidRDefault="00F64463" w:rsidP="00F64463"/>
    <w:p w:rsidR="00F64463" w:rsidRDefault="00F64463" w:rsidP="00F64463">
      <w:pPr>
        <w:rPr>
          <w:rFonts w:ascii="Times New Roman" w:hAnsi="Times New Roman" w:cs="Times New Roman"/>
          <w:sz w:val="24"/>
          <w:szCs w:val="24"/>
        </w:rPr>
      </w:pPr>
      <w:r>
        <w:rPr>
          <w:b/>
          <w:sz w:val="28"/>
          <w:szCs w:val="28"/>
        </w:rPr>
        <w:br w:type="page"/>
      </w:r>
    </w:p>
    <w:p w:rsidR="00F64463" w:rsidRDefault="00F64463" w:rsidP="00F64463">
      <w:pPr>
        <w:jc w:val="center"/>
        <w:rPr>
          <w:rFonts w:cstheme="minorHAnsi"/>
        </w:rPr>
      </w:pPr>
      <w:r>
        <w:rPr>
          <w:rFonts w:cstheme="minorHAnsi"/>
          <w:sz w:val="24"/>
          <w:szCs w:val="24"/>
        </w:rPr>
        <w:t>Table of Contents</w:t>
      </w:r>
    </w:p>
    <w:p w:rsidR="00F64463" w:rsidRDefault="00F64463" w:rsidP="00F64463">
      <w:pPr>
        <w:pStyle w:val="ListParagraph"/>
        <w:numPr>
          <w:ilvl w:val="0"/>
          <w:numId w:val="2"/>
        </w:numPr>
      </w:pPr>
      <w:r>
        <w:t>Executive Summary</w:t>
      </w:r>
    </w:p>
    <w:p w:rsidR="00F64463" w:rsidRDefault="00F64463" w:rsidP="00F64463">
      <w:pPr>
        <w:pStyle w:val="ListParagraph"/>
        <w:numPr>
          <w:ilvl w:val="2"/>
          <w:numId w:val="2"/>
        </w:numPr>
        <w:ind w:left="1170"/>
      </w:pPr>
      <w:r>
        <w:t>Statutory Mandate</w:t>
      </w:r>
    </w:p>
    <w:p w:rsidR="00F64463" w:rsidRDefault="00F64463" w:rsidP="00F64463">
      <w:pPr>
        <w:pStyle w:val="ListParagraph"/>
        <w:numPr>
          <w:ilvl w:val="2"/>
          <w:numId w:val="2"/>
        </w:numPr>
        <w:ind w:left="1170"/>
      </w:pPr>
      <w:r>
        <w:t>Working Group Recommendations</w:t>
      </w:r>
    </w:p>
    <w:p w:rsidR="00F64463" w:rsidRDefault="00F64463" w:rsidP="00F64463">
      <w:pPr>
        <w:pStyle w:val="ListParagraph"/>
        <w:numPr>
          <w:ilvl w:val="2"/>
          <w:numId w:val="2"/>
        </w:numPr>
        <w:ind w:left="1170"/>
      </w:pPr>
      <w:r>
        <w:t>Advisory Council Comments</w:t>
      </w:r>
    </w:p>
    <w:p w:rsidR="00F64463" w:rsidRDefault="00F64463" w:rsidP="00F64463">
      <w:pPr>
        <w:pStyle w:val="ListParagraph"/>
        <w:ind w:left="1170"/>
      </w:pPr>
    </w:p>
    <w:p w:rsidR="00F64463" w:rsidRDefault="00F64463" w:rsidP="00F64463">
      <w:pPr>
        <w:pStyle w:val="ListParagraph"/>
        <w:numPr>
          <w:ilvl w:val="0"/>
          <w:numId w:val="2"/>
        </w:numPr>
      </w:pPr>
      <w:r>
        <w:t>Treasurer’s Report: Estimating the Cost of Clean Surface Water</w:t>
      </w:r>
    </w:p>
    <w:p w:rsidR="00F64463" w:rsidRDefault="00F64463" w:rsidP="00F64463">
      <w:pPr>
        <w:pStyle w:val="ListParagraph"/>
        <w:numPr>
          <w:ilvl w:val="2"/>
          <w:numId w:val="2"/>
        </w:numPr>
        <w:ind w:left="1170"/>
      </w:pPr>
      <w:r>
        <w:t>Total Annualized Average Cost over 20 Years</w:t>
      </w:r>
    </w:p>
    <w:p w:rsidR="00F64463" w:rsidRDefault="00F64463" w:rsidP="00F64463">
      <w:pPr>
        <w:pStyle w:val="ListParagraph"/>
        <w:numPr>
          <w:ilvl w:val="2"/>
          <w:numId w:val="2"/>
        </w:numPr>
        <w:ind w:left="1170"/>
      </w:pPr>
      <w:r>
        <w:t>Sector #1: Municipal Wastewater and Combined Sewer Infrastructure</w:t>
      </w:r>
    </w:p>
    <w:p w:rsidR="00F64463" w:rsidRDefault="00F64463" w:rsidP="00F64463">
      <w:pPr>
        <w:pStyle w:val="ListParagraph"/>
        <w:numPr>
          <w:ilvl w:val="2"/>
          <w:numId w:val="2"/>
        </w:numPr>
        <w:ind w:left="1170"/>
      </w:pPr>
      <w:r>
        <w:t>Sector #2: Agriculture</w:t>
      </w:r>
    </w:p>
    <w:p w:rsidR="00F64463" w:rsidRDefault="00F64463" w:rsidP="00F64463">
      <w:pPr>
        <w:pStyle w:val="ListParagraph"/>
        <w:numPr>
          <w:ilvl w:val="2"/>
          <w:numId w:val="2"/>
        </w:numPr>
        <w:ind w:left="1170"/>
      </w:pPr>
      <w:r>
        <w:t>Sector #3: Developed Lands (</w:t>
      </w:r>
      <w:proofErr w:type="spellStart"/>
      <w:r>
        <w:t>Stormwater</w:t>
      </w:r>
      <w:proofErr w:type="spellEnd"/>
      <w:r>
        <w:t>, Road Infrastructure Runoff, and Erosion Control)</w:t>
      </w:r>
    </w:p>
    <w:p w:rsidR="00F64463" w:rsidRDefault="00F64463" w:rsidP="00F64463">
      <w:pPr>
        <w:pStyle w:val="ListParagraph"/>
        <w:numPr>
          <w:ilvl w:val="2"/>
          <w:numId w:val="2"/>
        </w:numPr>
        <w:ind w:left="1170"/>
      </w:pPr>
      <w:r>
        <w:t xml:space="preserve">Sector #4: Natural Resources Restoration </w:t>
      </w:r>
    </w:p>
    <w:p w:rsidR="00F64463" w:rsidRDefault="00F64463" w:rsidP="00F64463">
      <w:pPr>
        <w:pStyle w:val="ListParagraph"/>
        <w:ind w:left="1170"/>
      </w:pPr>
    </w:p>
    <w:p w:rsidR="00F64463" w:rsidRDefault="00F64463" w:rsidP="00F64463">
      <w:pPr>
        <w:pStyle w:val="ListParagraph"/>
        <w:numPr>
          <w:ilvl w:val="0"/>
          <w:numId w:val="2"/>
        </w:numPr>
      </w:pPr>
      <w:r>
        <w:t>Cost Revisions</w:t>
      </w:r>
    </w:p>
    <w:p w:rsidR="00F64463" w:rsidRDefault="00F64463" w:rsidP="00F64463">
      <w:pPr>
        <w:pStyle w:val="ListParagraph"/>
      </w:pPr>
    </w:p>
    <w:p w:rsidR="00F64463" w:rsidRDefault="00F64463" w:rsidP="00F64463">
      <w:pPr>
        <w:pStyle w:val="ListParagraph"/>
        <w:numPr>
          <w:ilvl w:val="0"/>
          <w:numId w:val="2"/>
        </w:numPr>
      </w:pPr>
      <w:r>
        <w:t>Revenues</w:t>
      </w:r>
    </w:p>
    <w:p w:rsidR="00F64463" w:rsidRDefault="00F64463" w:rsidP="00F64463">
      <w:pPr>
        <w:pStyle w:val="ListParagraph"/>
        <w:numPr>
          <w:ilvl w:val="2"/>
          <w:numId w:val="2"/>
        </w:numPr>
        <w:ind w:left="1170"/>
      </w:pPr>
      <w:r>
        <w:t>General Obligation Bonds</w:t>
      </w:r>
    </w:p>
    <w:p w:rsidR="00F64463" w:rsidRDefault="00F64463" w:rsidP="00F64463">
      <w:pPr>
        <w:pStyle w:val="ListParagraph"/>
        <w:numPr>
          <w:ilvl w:val="2"/>
          <w:numId w:val="2"/>
        </w:numPr>
        <w:ind w:left="1170"/>
      </w:pPr>
      <w:r>
        <w:t>TDI Transmission Line</w:t>
      </w:r>
    </w:p>
    <w:p w:rsidR="00F64463" w:rsidRDefault="00F64463" w:rsidP="00F64463">
      <w:pPr>
        <w:pStyle w:val="ListParagraph"/>
        <w:numPr>
          <w:ilvl w:val="2"/>
          <w:numId w:val="2"/>
        </w:numPr>
        <w:ind w:left="1170"/>
      </w:pPr>
      <w:r>
        <w:t>Federal Highway Funds</w:t>
      </w:r>
    </w:p>
    <w:p w:rsidR="00F64463" w:rsidRDefault="00F64463" w:rsidP="00F64463">
      <w:pPr>
        <w:pStyle w:val="ListParagraph"/>
        <w:numPr>
          <w:ilvl w:val="2"/>
          <w:numId w:val="2"/>
        </w:numPr>
        <w:ind w:left="1170"/>
      </w:pPr>
      <w:r>
        <w:t>NRCS Funds</w:t>
      </w:r>
    </w:p>
    <w:p w:rsidR="00F64463" w:rsidRDefault="00F64463" w:rsidP="00F64463">
      <w:pPr>
        <w:pStyle w:val="ListParagraph"/>
        <w:numPr>
          <w:ilvl w:val="2"/>
          <w:numId w:val="2"/>
        </w:numPr>
        <w:ind w:left="1170"/>
      </w:pPr>
      <w:r>
        <w:t>VHCB Revenues</w:t>
      </w:r>
    </w:p>
    <w:p w:rsidR="00F64463" w:rsidRDefault="00F64463" w:rsidP="00F64463">
      <w:pPr>
        <w:pStyle w:val="ListParagraph"/>
        <w:numPr>
          <w:ilvl w:val="2"/>
          <w:numId w:val="2"/>
        </w:numPr>
        <w:ind w:left="1170"/>
      </w:pPr>
      <w:r>
        <w:t>Parcel and Impervious Surface Fees</w:t>
      </w:r>
    </w:p>
    <w:p w:rsidR="00F64463" w:rsidRDefault="00F64463" w:rsidP="00F64463">
      <w:pPr>
        <w:pStyle w:val="ListParagraph"/>
        <w:numPr>
          <w:ilvl w:val="2"/>
          <w:numId w:val="2"/>
        </w:numPr>
        <w:ind w:left="1170"/>
      </w:pPr>
      <w:r>
        <w:t>Phosphorus Trading &amp; Impact Fees</w:t>
      </w:r>
    </w:p>
    <w:p w:rsidR="00F64463" w:rsidRDefault="00F64463" w:rsidP="00F64463">
      <w:pPr>
        <w:pStyle w:val="ListParagraph"/>
        <w:numPr>
          <w:ilvl w:val="2"/>
          <w:numId w:val="2"/>
        </w:numPr>
        <w:ind w:left="1170"/>
      </w:pPr>
      <w:r>
        <w:t>Revenue Sources Discussed During Treasurer’s Report Stakeholder Process</w:t>
      </w:r>
    </w:p>
    <w:p w:rsidR="00F64463" w:rsidRDefault="00F64463" w:rsidP="00F64463">
      <w:pPr>
        <w:pStyle w:val="ListParagraph"/>
        <w:ind w:left="2160"/>
      </w:pPr>
    </w:p>
    <w:p w:rsidR="00F64463" w:rsidRDefault="00F64463" w:rsidP="00F64463">
      <w:pPr>
        <w:pStyle w:val="ListParagraph"/>
        <w:numPr>
          <w:ilvl w:val="0"/>
          <w:numId w:val="2"/>
        </w:numPr>
      </w:pPr>
      <w:r>
        <w:t>Financing</w:t>
      </w:r>
    </w:p>
    <w:p w:rsidR="00F64463" w:rsidRDefault="00F64463" w:rsidP="00F64463">
      <w:pPr>
        <w:pStyle w:val="ListParagraph"/>
        <w:numPr>
          <w:ilvl w:val="2"/>
          <w:numId w:val="2"/>
        </w:numPr>
        <w:ind w:left="1170"/>
      </w:pPr>
      <w:r>
        <w:t>Clean Water State Revolving Fund (CWSRF)</w:t>
      </w:r>
    </w:p>
    <w:p w:rsidR="00F64463" w:rsidRDefault="00F64463" w:rsidP="00F64463">
      <w:pPr>
        <w:pStyle w:val="ListParagraph"/>
        <w:numPr>
          <w:ilvl w:val="2"/>
          <w:numId w:val="2"/>
        </w:numPr>
        <w:ind w:left="1170"/>
      </w:pPr>
      <w:r>
        <w:t>USDA Rural Development</w:t>
      </w:r>
    </w:p>
    <w:p w:rsidR="00F64463" w:rsidRDefault="00F64463" w:rsidP="00F64463">
      <w:pPr>
        <w:pStyle w:val="ListParagraph"/>
        <w:ind w:left="2160"/>
      </w:pPr>
    </w:p>
    <w:p w:rsidR="00F64463" w:rsidRDefault="00F64463" w:rsidP="00F64463">
      <w:pPr>
        <w:pStyle w:val="ListParagraph"/>
        <w:numPr>
          <w:ilvl w:val="0"/>
          <w:numId w:val="2"/>
        </w:numPr>
      </w:pPr>
      <w:r>
        <w:t>Matching Costs with Revenues and Financing Methods</w:t>
      </w:r>
    </w:p>
    <w:p w:rsidR="00F64463" w:rsidRDefault="00F64463" w:rsidP="00F64463">
      <w:pPr>
        <w:pStyle w:val="ListParagraph"/>
        <w:numPr>
          <w:ilvl w:val="2"/>
          <w:numId w:val="2"/>
        </w:numPr>
        <w:ind w:left="1170"/>
      </w:pPr>
      <w:r>
        <w:t>Sector #1: Municipal Wastewater and Combined Sewer Infrastructure</w:t>
      </w:r>
    </w:p>
    <w:p w:rsidR="00F64463" w:rsidRDefault="00F64463" w:rsidP="00F64463">
      <w:pPr>
        <w:pStyle w:val="ListParagraph"/>
        <w:numPr>
          <w:ilvl w:val="2"/>
          <w:numId w:val="2"/>
        </w:numPr>
        <w:ind w:left="1170"/>
      </w:pPr>
      <w:r>
        <w:t>Sector #2: Agriculture</w:t>
      </w:r>
    </w:p>
    <w:p w:rsidR="00F64463" w:rsidRDefault="00F64463" w:rsidP="00F64463">
      <w:pPr>
        <w:pStyle w:val="ListParagraph"/>
        <w:numPr>
          <w:ilvl w:val="2"/>
          <w:numId w:val="2"/>
        </w:numPr>
        <w:ind w:left="1170"/>
      </w:pPr>
      <w:r>
        <w:t>Sector #3: Developed Lands (</w:t>
      </w:r>
      <w:proofErr w:type="spellStart"/>
      <w:r>
        <w:t>Stormwater</w:t>
      </w:r>
      <w:proofErr w:type="spellEnd"/>
      <w:r>
        <w:t>, Road Infrastructure Runoff, and Erosion Control)</w:t>
      </w:r>
    </w:p>
    <w:p w:rsidR="00F64463" w:rsidRDefault="00F64463" w:rsidP="00F64463">
      <w:pPr>
        <w:pStyle w:val="ListParagraph"/>
        <w:numPr>
          <w:ilvl w:val="3"/>
          <w:numId w:val="2"/>
        </w:numPr>
        <w:ind w:left="1890"/>
      </w:pPr>
      <w:r>
        <w:t>Municipal Roads (Municipal General Roads Permit)</w:t>
      </w:r>
    </w:p>
    <w:p w:rsidR="00F64463" w:rsidRDefault="00F64463" w:rsidP="00F64463">
      <w:pPr>
        <w:pStyle w:val="ListParagraph"/>
        <w:numPr>
          <w:ilvl w:val="3"/>
          <w:numId w:val="2"/>
        </w:numPr>
        <w:ind w:left="1890"/>
      </w:pPr>
      <w:r>
        <w:t>Municipal Developed Lands (</w:t>
      </w:r>
      <w:r>
        <w:rPr>
          <w:u w:val="single"/>
        </w:rPr>
        <w:t>&gt;</w:t>
      </w:r>
      <w:r>
        <w:t xml:space="preserve"> 3 acres)</w:t>
      </w:r>
    </w:p>
    <w:p w:rsidR="00F64463" w:rsidRDefault="00F64463" w:rsidP="00F64463">
      <w:pPr>
        <w:pStyle w:val="ListParagraph"/>
        <w:numPr>
          <w:ilvl w:val="3"/>
          <w:numId w:val="2"/>
        </w:numPr>
        <w:ind w:left="1890"/>
      </w:pPr>
      <w:r>
        <w:t xml:space="preserve">State Roads (Transportation Separate Sewer and </w:t>
      </w:r>
      <w:proofErr w:type="spellStart"/>
      <w:r>
        <w:t>Stormwater</w:t>
      </w:r>
      <w:proofErr w:type="spellEnd"/>
      <w:r>
        <w:t xml:space="preserve"> System) (TS4)</w:t>
      </w:r>
    </w:p>
    <w:p w:rsidR="00F64463" w:rsidRDefault="00F64463" w:rsidP="00F64463">
      <w:pPr>
        <w:pStyle w:val="ListParagraph"/>
        <w:numPr>
          <w:ilvl w:val="3"/>
          <w:numId w:val="2"/>
        </w:numPr>
        <w:ind w:left="1890"/>
      </w:pPr>
      <w:r>
        <w:t>Private Developed Lands (</w:t>
      </w:r>
      <w:r>
        <w:rPr>
          <w:u w:val="single"/>
        </w:rPr>
        <w:t>&gt;</w:t>
      </w:r>
      <w:r>
        <w:t xml:space="preserve"> 3 acres)</w:t>
      </w:r>
    </w:p>
    <w:p w:rsidR="00F64463" w:rsidRDefault="00F64463" w:rsidP="00F64463">
      <w:pPr>
        <w:pStyle w:val="ListParagraph"/>
        <w:numPr>
          <w:ilvl w:val="2"/>
          <w:numId w:val="2"/>
        </w:numPr>
        <w:ind w:left="1170"/>
      </w:pPr>
      <w:r>
        <w:t>Sector #4: Natural Resources</w:t>
      </w:r>
    </w:p>
    <w:p w:rsidR="00F64463" w:rsidRDefault="00F64463" w:rsidP="00F64463">
      <w:r>
        <w:t>Appendices</w:t>
      </w:r>
    </w:p>
    <w:p w:rsidR="00F64463" w:rsidRDefault="00F64463" w:rsidP="00F64463">
      <w:pPr>
        <w:pStyle w:val="ListParagraph"/>
        <w:numPr>
          <w:ilvl w:val="0"/>
          <w:numId w:val="3"/>
        </w:numPr>
      </w:pPr>
      <w:r>
        <w:t>Text of H.516, Section 26</w:t>
      </w:r>
    </w:p>
    <w:p w:rsidR="00F64463" w:rsidRDefault="00F64463" w:rsidP="00F64463">
      <w:pPr>
        <w:pStyle w:val="ListParagraph"/>
        <w:numPr>
          <w:ilvl w:val="0"/>
          <w:numId w:val="3"/>
        </w:numPr>
      </w:pPr>
      <w:r>
        <w:t xml:space="preserve">Comments of the Advisory Council to the </w:t>
      </w:r>
      <w:r>
        <w:rPr>
          <w:rFonts w:ascii="Times New Roman" w:hAnsi="Times New Roman" w:cs="Times New Roman"/>
          <w:sz w:val="24"/>
          <w:szCs w:val="24"/>
        </w:rPr>
        <w:t>Working Group on Water Quality Funding</w:t>
      </w:r>
    </w:p>
    <w:p w:rsidR="00A44914" w:rsidRDefault="00F64463" w:rsidP="00F64463">
      <w:pPr>
        <w:pStyle w:val="ListParagraph"/>
        <w:numPr>
          <w:ilvl w:val="0"/>
          <w:numId w:val="3"/>
        </w:numPr>
      </w:pPr>
      <w:r>
        <w:t>Complete list of revenues suggested by Treasurer’s Stakeholder Groups</w:t>
      </w:r>
    </w:p>
    <w:sectPr w:rsidR="00A44914" w:rsidSect="00F64463">
      <w:headerReference w:type="default" r:id="rId13"/>
      <w:footerReference w:type="default" r:id="rId14"/>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414" w:rsidRDefault="00F44414" w:rsidP="00C82357">
      <w:pPr>
        <w:spacing w:after="0" w:line="240" w:lineRule="auto"/>
      </w:pPr>
      <w:r>
        <w:separator/>
      </w:r>
    </w:p>
  </w:endnote>
  <w:endnote w:type="continuationSeparator" w:id="0">
    <w:p w:rsidR="00F44414" w:rsidRDefault="00F44414"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7" w:rsidRDefault="00C82357">
    <w:pPr>
      <w:pStyle w:val="Footer"/>
    </w:pPr>
    <w:r>
      <w:tab/>
    </w:r>
    <w:r>
      <w:tab/>
    </w:r>
    <w:r w:rsidR="004B32F6">
      <w:tab/>
      <w:t xml:space="preserve">                     </w:t>
    </w:r>
    <w:r w:rsidR="004B32F6">
      <w:tab/>
      <w:t xml:space="preserve"> </w:t>
    </w:r>
    <w:r>
      <w:t>DRAFT 6/2</w:t>
    </w:r>
    <w:r w:rsidR="001060C0">
      <w:t>7</w:t>
    </w:r>
    <w: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F6" w:rsidRDefault="004B32F6" w:rsidP="00F64463">
    <w:pPr>
      <w:pStyle w:val="Footer"/>
      <w:ind w:left="9360"/>
    </w:pPr>
    <w:r>
      <w:tab/>
    </w:r>
    <w:r>
      <w:tab/>
    </w:r>
    <w:r>
      <w:tab/>
      <w:t xml:space="preserve">                      </w:t>
    </w:r>
    <w:r w:rsidR="00F64463">
      <w:tab/>
    </w:r>
    <w:r w:rsidR="00F64463">
      <w:tab/>
    </w:r>
    <w:r>
      <w:t>DRAFT 6/27/2017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63" w:rsidRDefault="00F64463">
    <w:pPr>
      <w:pStyle w:val="Footer"/>
    </w:pPr>
    <w:r>
      <w:tab/>
    </w:r>
    <w:r>
      <w:tab/>
    </w:r>
    <w:r>
      <w:tab/>
      <w:t xml:space="preserve">                      </w:t>
    </w:r>
    <w:r>
      <w:tab/>
      <w:t>DRAFT 6/27/2017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414" w:rsidRDefault="00F44414" w:rsidP="00C82357">
      <w:pPr>
        <w:spacing w:after="0" w:line="240" w:lineRule="auto"/>
      </w:pPr>
      <w:r>
        <w:separator/>
      </w:r>
    </w:p>
  </w:footnote>
  <w:footnote w:type="continuationSeparator" w:id="0">
    <w:p w:rsidR="00F44414" w:rsidRDefault="00F44414" w:rsidP="00C8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63" w:rsidRPr="00F64463" w:rsidRDefault="00F64463" w:rsidP="00F64463">
    <w:pPr>
      <w:pStyle w:val="Header"/>
      <w:jc w:val="center"/>
      <w:rPr>
        <w:b/>
        <w:color w:val="FF0000"/>
        <w:sz w:val="40"/>
        <w:szCs w:val="40"/>
      </w:rPr>
    </w:pPr>
    <w:r w:rsidRPr="00F64463">
      <w:rPr>
        <w:b/>
        <w:color w:val="FF0000"/>
        <w:sz w:val="40"/>
        <w:szCs w:val="4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264F7"/>
    <w:multiLevelType w:val="hybridMultilevel"/>
    <w:tmpl w:val="C5329CB8"/>
    <w:lvl w:ilvl="0" w:tplc="04090013">
      <w:start w:val="1"/>
      <w:numFmt w:val="upperRoman"/>
      <w:lvlText w:val="%1."/>
      <w:lvlJc w:val="right"/>
      <w:pPr>
        <w:ind w:left="720" w:hanging="360"/>
      </w:pPr>
    </w:lvl>
    <w:lvl w:ilvl="1" w:tplc="B992C150">
      <w:start w:val="1"/>
      <w:numFmt w:val="decimal"/>
      <w:lvlText w:val="%2."/>
      <w:lvlJc w:val="left"/>
      <w:pPr>
        <w:ind w:left="1440" w:hanging="360"/>
      </w:pPr>
    </w:lvl>
    <w:lvl w:ilvl="2" w:tplc="6B52AE0C">
      <w:start w:val="1"/>
      <w:numFmt w:val="upp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A4D8E"/>
    <w:multiLevelType w:val="hybridMultilevel"/>
    <w:tmpl w:val="7256CB52"/>
    <w:lvl w:ilvl="0" w:tplc="D7FC6D4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F"/>
    <w:rsid w:val="001060C0"/>
    <w:rsid w:val="001622EC"/>
    <w:rsid w:val="00294E29"/>
    <w:rsid w:val="002A0023"/>
    <w:rsid w:val="00361AAA"/>
    <w:rsid w:val="004B32F6"/>
    <w:rsid w:val="004C17F3"/>
    <w:rsid w:val="006848EF"/>
    <w:rsid w:val="006C50F8"/>
    <w:rsid w:val="0075369A"/>
    <w:rsid w:val="007B7688"/>
    <w:rsid w:val="00805FA9"/>
    <w:rsid w:val="00875CE2"/>
    <w:rsid w:val="0088363C"/>
    <w:rsid w:val="00A00490"/>
    <w:rsid w:val="00A44914"/>
    <w:rsid w:val="00B46AED"/>
    <w:rsid w:val="00BB53D1"/>
    <w:rsid w:val="00C82357"/>
    <w:rsid w:val="00F44414"/>
    <w:rsid w:val="00F64463"/>
    <w:rsid w:val="00FA0D92"/>
    <w:rsid w:val="00FB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14:docId w14:val="40760D85"/>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table" w:styleId="TableGrid">
    <w:name w:val="Table Grid"/>
    <w:basedOn w:val="TableNormal"/>
    <w:uiPriority w:val="39"/>
    <w:rsid w:val="004B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F3"/>
    <w:rPr>
      <w:rFonts w:ascii="Segoe UI" w:hAnsi="Segoe UI" w:cs="Segoe UI"/>
      <w:sz w:val="18"/>
      <w:szCs w:val="18"/>
    </w:rPr>
  </w:style>
  <w:style w:type="paragraph" w:styleId="ListParagraph">
    <w:name w:val="List Paragraph"/>
    <w:basedOn w:val="Normal"/>
    <w:uiPriority w:val="34"/>
    <w:qFormat/>
    <w:rsid w:val="00F6446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becca.ellis\Desktop\2017%20Clean%20Water%20Funding_Materials%20for%20Study%20Group\2017-04-06%20master%20spreadsheet%20with%20scroll.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jupiter\users$\Rebecca.Ellis\MyFiles\WSMD_Clean%20Water%20Initiative\1_Clean%20Water%20Funding\Matching%20Costs%20and%20Revenues%20-%20Jan%202017\2017-04-06%20Compare%20Treasurer%20and%20Govern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76520538458778E-2"/>
          <c:y val="3.1780726183905983E-2"/>
          <c:w val="0.89944808991863723"/>
          <c:h val="0.8097403717139251"/>
        </c:manualLayout>
      </c:layout>
      <c:barChart>
        <c:barDir val="col"/>
        <c:grouping val="stacked"/>
        <c:varyColors val="0"/>
        <c:ser>
          <c:idx val="1"/>
          <c:order val="0"/>
          <c:tx>
            <c:strRef>
              <c:f>'Summary Graphics'!$B$26</c:f>
              <c:strCache>
                <c:ptCount val="1"/>
                <c:pt idx="0">
                  <c:v> State Revenue</c:v>
                </c:pt>
              </c:strCache>
            </c:strRef>
          </c:tx>
          <c:spPr>
            <a:solidFill>
              <a:schemeClr val="accent6"/>
            </a:solidFill>
            <a:ln w="19050">
              <a:solidFill>
                <a:schemeClr val="accent6"/>
              </a:solidFill>
            </a:ln>
            <a:effectLst/>
          </c:spPr>
          <c:invertIfNegative val="0"/>
          <c:cat>
            <c:strRef>
              <c:f>'Summary Graphics'!$A$27:$A$33</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Graphics'!$B$27:$B$33</c:f>
              <c:numCache>
                <c:formatCode>0.00_);[Red]\(0.00\)</c:formatCode>
                <c:ptCount val="7"/>
                <c:pt idx="0">
                  <c:v>2.1357211789495278</c:v>
                </c:pt>
                <c:pt idx="1">
                  <c:v>0.58000000000000007</c:v>
                </c:pt>
                <c:pt idx="2">
                  <c:v>3.5102500000000019</c:v>
                </c:pt>
                <c:pt idx="5">
                  <c:v>5.1915000000000004</c:v>
                </c:pt>
                <c:pt idx="6">
                  <c:v>0.27634999999999998</c:v>
                </c:pt>
              </c:numCache>
            </c:numRef>
          </c:val>
          <c:extLst>
            <c:ext xmlns:c16="http://schemas.microsoft.com/office/drawing/2014/chart" uri="{C3380CC4-5D6E-409C-BE32-E72D297353CC}">
              <c16:uniqueId val="{00000000-A7B8-489D-8256-242A0F8720D4}"/>
            </c:ext>
          </c:extLst>
        </c:ser>
        <c:ser>
          <c:idx val="2"/>
          <c:order val="1"/>
          <c:tx>
            <c:strRef>
              <c:f>'Summary Graphics'!$C$26</c:f>
              <c:strCache>
                <c:ptCount val="1"/>
                <c:pt idx="0">
                  <c:v> Federal Revenue</c:v>
                </c:pt>
              </c:strCache>
            </c:strRef>
          </c:tx>
          <c:spPr>
            <a:solidFill>
              <a:schemeClr val="accent3"/>
            </a:solidFill>
            <a:ln w="19050">
              <a:solidFill>
                <a:schemeClr val="accent3"/>
              </a:solidFill>
            </a:ln>
            <a:effectLst/>
          </c:spPr>
          <c:invertIfNegative val="0"/>
          <c:cat>
            <c:strRef>
              <c:f>'Summary Graphics'!$A$27:$A$33</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Graphics'!$C$27:$C$33</c:f>
              <c:numCache>
                <c:formatCode>0.00_);[Red]\(0.00\)</c:formatCode>
                <c:ptCount val="7"/>
                <c:pt idx="0">
                  <c:v>8.6233357267180786</c:v>
                </c:pt>
                <c:pt idx="1">
                  <c:v>1.2100000000000004</c:v>
                </c:pt>
                <c:pt idx="2">
                  <c:v>0.23749999999999999</c:v>
                </c:pt>
                <c:pt idx="3">
                  <c:v>4.5540089499999983</c:v>
                </c:pt>
                <c:pt idx="5">
                  <c:v>5.1760000000000002</c:v>
                </c:pt>
                <c:pt idx="6">
                  <c:v>1.37</c:v>
                </c:pt>
              </c:numCache>
            </c:numRef>
          </c:val>
          <c:extLst>
            <c:ext xmlns:c16="http://schemas.microsoft.com/office/drawing/2014/chart" uri="{C3380CC4-5D6E-409C-BE32-E72D297353CC}">
              <c16:uniqueId val="{00000001-A7B8-489D-8256-242A0F8720D4}"/>
            </c:ext>
          </c:extLst>
        </c:ser>
        <c:ser>
          <c:idx val="0"/>
          <c:order val="2"/>
          <c:tx>
            <c:strRef>
              <c:f>'Summary Graphics'!$E$26</c:f>
              <c:strCache>
                <c:ptCount val="1"/>
                <c:pt idx="0">
                  <c:v> Total Gap</c:v>
                </c:pt>
              </c:strCache>
            </c:strRef>
          </c:tx>
          <c:spPr>
            <a:solidFill>
              <a:schemeClr val="bg1"/>
            </a:solidFill>
            <a:ln w="19050">
              <a:solidFill>
                <a:schemeClr val="tx1"/>
              </a:solidFill>
            </a:ln>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'Summary Graphics'!$A$27:$A$33</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Graphics'!$E$27:$E$33</c:f>
              <c:numCache>
                <c:formatCode>0.00_);[Red]\(0.00\)</c:formatCode>
                <c:ptCount val="7"/>
                <c:pt idx="0">
                  <c:v>6.1394930943323924</c:v>
                </c:pt>
                <c:pt idx="1">
                  <c:v>5.7584750000000007</c:v>
                </c:pt>
                <c:pt idx="2">
                  <c:v>6.6367825000015479E-3</c:v>
                </c:pt>
                <c:pt idx="3">
                  <c:v>0</c:v>
                </c:pt>
                <c:pt idx="4">
                  <c:v>18.3663082325</c:v>
                </c:pt>
                <c:pt idx="5">
                  <c:v>16.014182692307692</c:v>
                </c:pt>
                <c:pt idx="6">
                  <c:v>2.5478999999999994</c:v>
                </c:pt>
              </c:numCache>
            </c:numRef>
          </c:val>
          <c:extLst>
            <c:ext xmlns:c16="http://schemas.microsoft.com/office/drawing/2014/chart" uri="{C3380CC4-5D6E-409C-BE32-E72D297353CC}">
              <c16:uniqueId val="{00000002-A7B8-489D-8256-242A0F8720D4}"/>
            </c:ext>
          </c:extLst>
        </c:ser>
        <c:dLbls>
          <c:showLegendKey val="0"/>
          <c:showVal val="0"/>
          <c:showCatName val="0"/>
          <c:showSerName val="0"/>
          <c:showPercent val="0"/>
          <c:showBubbleSize val="0"/>
        </c:dLbls>
        <c:gapWidth val="83"/>
        <c:overlap val="100"/>
        <c:axId val="394441104"/>
        <c:axId val="1"/>
      </c:barChart>
      <c:catAx>
        <c:axId val="3944411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Franklin Gothic Book" panose="020B0503020102020204" pitchFamily="34" charset="0"/>
                    <a:ea typeface="+mn-ea"/>
                    <a:cs typeface="Arial" panose="020B0604020202020204" pitchFamily="34" charset="0"/>
                  </a:defRPr>
                </a:pPr>
                <a:r>
                  <a:rPr lang="en-US" b="1"/>
                  <a:t>Sector</a:t>
                </a:r>
              </a:p>
            </c:rich>
          </c:tx>
          <c:layout>
            <c:manualLayout>
              <c:xMode val="edge"/>
              <c:yMode val="edge"/>
              <c:x val="0.50360107560084399"/>
              <c:y val="0.93226965050421329"/>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Franklin Gothic Book" panose="020B0503020102020204" pitchFamily="34" charset="0"/>
                    <a:ea typeface="+mn-ea"/>
                    <a:cs typeface="Arial" panose="020B0604020202020204" pitchFamily="34" charset="0"/>
                  </a:defRPr>
                </a:pPr>
                <a:r>
                  <a:rPr lang="en-US" b="1"/>
                  <a:t>Dollars in Millions</a:t>
                </a:r>
              </a:p>
            </c:rich>
          </c:tx>
          <c:layout>
            <c:manualLayout>
              <c:xMode val="edge"/>
              <c:yMode val="edge"/>
              <c:x val="1.0394987391281973E-2"/>
              <c:y val="0.22085481420085648"/>
            </c:manualLayout>
          </c:layout>
          <c:overlay val="0"/>
          <c:spPr>
            <a:noFill/>
            <a:ln w="25400">
              <a:noFill/>
            </a:ln>
          </c:spPr>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Arial" panose="020B0604020202020204" pitchFamily="34" charset="0"/>
              </a:defRPr>
            </a:pPr>
            <a:endParaRPr lang="en-US"/>
          </a:p>
        </c:txPr>
        <c:crossAx val="394441104"/>
        <c:crosses val="autoZero"/>
        <c:crossBetween val="between"/>
      </c:valAx>
      <c:spPr>
        <a:noFill/>
        <a:ln>
          <a:solidFill>
            <a:schemeClr val="bg1">
              <a:lumMod val="85000"/>
            </a:schemeClr>
          </a:solidFill>
        </a:ln>
        <a:effectLst/>
      </c:spPr>
    </c:plotArea>
    <c:legend>
      <c:legendPos val="b"/>
      <c:layout>
        <c:manualLayout>
          <c:xMode val="edge"/>
          <c:yMode val="edge"/>
          <c:x val="0.59673283551449874"/>
          <c:y val="4.2232316405068339E-2"/>
          <c:w val="0.3490200812319193"/>
          <c:h val="7.5414850723336313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Franklin Gothic Book" panose="020B05030201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Sheet1!$B$102</c:f>
              <c:strCache>
                <c:ptCount val="1"/>
              </c:strCache>
            </c:strRef>
          </c:tx>
          <c:spPr>
            <a:solidFill>
              <a:schemeClr val="accent1"/>
            </a:solidFill>
            <a:ln>
              <a:noFill/>
            </a:ln>
            <a:effectLst/>
          </c:spPr>
          <c:invertIfNegative val="0"/>
          <c:cat>
            <c:strRef>
              <c:f>Sheet1!$A$103:$A$106</c:f>
              <c:strCache>
                <c:ptCount val="4"/>
                <c:pt idx="0">
                  <c:v>SECTOR 1: Municipal Wastewater Control</c:v>
                </c:pt>
                <c:pt idx="1">
                  <c:v>SECTOR 2: Agriculture Pollution Control</c:v>
                </c:pt>
                <c:pt idx="2">
                  <c:v>SECTOR 3: Developed Lands &amp; Roads</c:v>
                </c:pt>
                <c:pt idx="3">
                  <c:v>SECTOR 4: Natural Resources Restoration</c:v>
                </c:pt>
              </c:strCache>
            </c:strRef>
          </c:cat>
          <c:val>
            <c:numRef>
              <c:f>Sheet1!$B$103:$B$106</c:f>
            </c:numRef>
          </c:val>
          <c:extLst>
            <c:ext xmlns:c16="http://schemas.microsoft.com/office/drawing/2014/chart" uri="{C3380CC4-5D6E-409C-BE32-E72D297353CC}">
              <c16:uniqueId val="{00000000-5903-4CBC-9949-3ABDAEAA4F0C}"/>
            </c:ext>
          </c:extLst>
        </c:ser>
        <c:ser>
          <c:idx val="1"/>
          <c:order val="1"/>
          <c:tx>
            <c:strRef>
              <c:f>Sheet1!$C$102</c:f>
              <c:strCache>
                <c:ptCount val="1"/>
                <c:pt idx="0">
                  <c:v>Costs</c:v>
                </c:pt>
              </c:strCache>
            </c:strRef>
          </c:tx>
          <c:spPr>
            <a:solidFill>
              <a:schemeClr val="accent2"/>
            </a:solidFill>
            <a:ln>
              <a:noFill/>
            </a:ln>
            <a:effectLst/>
          </c:spPr>
          <c:invertIfNegative val="0"/>
          <c:cat>
            <c:strRef>
              <c:f>Sheet1!$A$103:$A$106</c:f>
              <c:strCache>
                <c:ptCount val="4"/>
                <c:pt idx="0">
                  <c:v>SECTOR 1: Municipal Wastewater Control</c:v>
                </c:pt>
                <c:pt idx="1">
                  <c:v>SECTOR 2: Agriculture Pollution Control</c:v>
                </c:pt>
                <c:pt idx="2">
                  <c:v>SECTOR 3: Developed Lands &amp; Roads</c:v>
                </c:pt>
                <c:pt idx="3">
                  <c:v>SECTOR 4: Natural Resources Restoration</c:v>
                </c:pt>
              </c:strCache>
            </c:strRef>
          </c:cat>
          <c:val>
            <c:numRef>
              <c:f>Sheet1!$C$103:$C$106</c:f>
              <c:numCache>
                <c:formatCode>_(* #,##0_);_(* \(#,##0\);_(* "-"??_);_(@_)</c:formatCode>
                <c:ptCount val="4"/>
                <c:pt idx="0">
                  <c:v>11815000</c:v>
                </c:pt>
                <c:pt idx="1">
                  <c:v>40962500</c:v>
                </c:pt>
                <c:pt idx="2">
                  <c:v>13254008.949999999</c:v>
                </c:pt>
                <c:pt idx="3">
                  <c:v>1900000</c:v>
                </c:pt>
              </c:numCache>
            </c:numRef>
          </c:val>
          <c:extLst>
            <c:ext xmlns:c16="http://schemas.microsoft.com/office/drawing/2014/chart" uri="{C3380CC4-5D6E-409C-BE32-E72D297353CC}">
              <c16:uniqueId val="{00000001-5903-4CBC-9949-3ABDAEAA4F0C}"/>
            </c:ext>
          </c:extLst>
        </c:ser>
        <c:ser>
          <c:idx val="2"/>
          <c:order val="2"/>
          <c:tx>
            <c:strRef>
              <c:f>Sheet1!$D$102</c:f>
              <c:strCache>
                <c:ptCount val="1"/>
                <c:pt idx="0">
                  <c:v>Revenues</c:v>
                </c:pt>
              </c:strCache>
            </c:strRef>
          </c:tx>
          <c:spPr>
            <a:solidFill>
              <a:schemeClr val="accent3"/>
            </a:solidFill>
            <a:ln>
              <a:noFill/>
            </a:ln>
            <a:effectLst/>
          </c:spPr>
          <c:invertIfNegative val="0"/>
          <c:cat>
            <c:strRef>
              <c:f>Sheet1!$A$103:$A$106</c:f>
              <c:strCache>
                <c:ptCount val="4"/>
                <c:pt idx="0">
                  <c:v>SECTOR 1: Municipal Wastewater Control</c:v>
                </c:pt>
                <c:pt idx="1">
                  <c:v>SECTOR 2: Agriculture Pollution Control</c:v>
                </c:pt>
                <c:pt idx="2">
                  <c:v>SECTOR 3: Developed Lands &amp; Roads</c:v>
                </c:pt>
                <c:pt idx="3">
                  <c:v>SECTOR 4: Natural Resources Restoration</c:v>
                </c:pt>
              </c:strCache>
            </c:strRef>
          </c:cat>
          <c:val>
            <c:numRef>
              <c:f>Sheet1!$D$103:$D$106</c:f>
            </c:numRef>
          </c:val>
          <c:extLst>
            <c:ext xmlns:c16="http://schemas.microsoft.com/office/drawing/2014/chart" uri="{C3380CC4-5D6E-409C-BE32-E72D297353CC}">
              <c16:uniqueId val="{00000002-5903-4CBC-9949-3ABDAEAA4F0C}"/>
            </c:ext>
          </c:extLst>
        </c:ser>
        <c:ser>
          <c:idx val="3"/>
          <c:order val="3"/>
          <c:tx>
            <c:strRef>
              <c:f>Sheet1!$E$102</c:f>
              <c:strCache>
                <c:ptCount val="1"/>
                <c:pt idx="0">
                  <c:v>Gap/Early Investment</c:v>
                </c:pt>
              </c:strCache>
            </c:strRef>
          </c:tx>
          <c:spPr>
            <a:solidFill>
              <a:schemeClr val="accent4"/>
            </a:solidFill>
            <a:ln>
              <a:noFill/>
            </a:ln>
            <a:effectLst/>
          </c:spPr>
          <c:invertIfNegative val="0"/>
          <c:cat>
            <c:strRef>
              <c:f>Sheet1!$A$103:$A$106</c:f>
              <c:strCache>
                <c:ptCount val="4"/>
                <c:pt idx="0">
                  <c:v>SECTOR 1: Municipal Wastewater Control</c:v>
                </c:pt>
                <c:pt idx="1">
                  <c:v>SECTOR 2: Agriculture Pollution Control</c:v>
                </c:pt>
                <c:pt idx="2">
                  <c:v>SECTOR 3: Developed Lands &amp; Roads</c:v>
                </c:pt>
                <c:pt idx="3">
                  <c:v>SECTOR 4: Natural Resources Restoration</c:v>
                </c:pt>
              </c:strCache>
            </c:strRef>
          </c:cat>
          <c:val>
            <c:numRef>
              <c:f>Sheet1!$E$103:$E$106</c:f>
            </c:numRef>
          </c:val>
          <c:extLst>
            <c:ext xmlns:c16="http://schemas.microsoft.com/office/drawing/2014/chart" uri="{C3380CC4-5D6E-409C-BE32-E72D297353CC}">
              <c16:uniqueId val="{00000003-5903-4CBC-9949-3ABDAEAA4F0C}"/>
            </c:ext>
          </c:extLst>
        </c:ser>
        <c:ser>
          <c:idx val="4"/>
          <c:order val="4"/>
          <c:tx>
            <c:strRef>
              <c:f>Sheet1!$F$102</c:f>
              <c:strCache>
                <c:ptCount val="1"/>
                <c:pt idx="0">
                  <c:v>Revenues</c:v>
                </c:pt>
              </c:strCache>
            </c:strRef>
          </c:tx>
          <c:spPr>
            <a:solidFill>
              <a:schemeClr val="accent5"/>
            </a:solidFill>
            <a:ln>
              <a:noFill/>
            </a:ln>
            <a:effectLst/>
          </c:spPr>
          <c:invertIfNegative val="0"/>
          <c:cat>
            <c:strRef>
              <c:f>Sheet1!$A$103:$A$106</c:f>
              <c:strCache>
                <c:ptCount val="4"/>
                <c:pt idx="0">
                  <c:v>SECTOR 1: Municipal Wastewater Control</c:v>
                </c:pt>
                <c:pt idx="1">
                  <c:v>SECTOR 2: Agriculture Pollution Control</c:v>
                </c:pt>
                <c:pt idx="2">
                  <c:v>SECTOR 3: Developed Lands &amp; Roads</c:v>
                </c:pt>
                <c:pt idx="3">
                  <c:v>SECTOR 4: Natural Resources Restoration</c:v>
                </c:pt>
              </c:strCache>
            </c:strRef>
          </c:cat>
          <c:val>
            <c:numRef>
              <c:f>Sheet1!$F$103:$F$106</c:f>
              <c:numCache>
                <c:formatCode>_(* #,##0_);_(* \(#,##0\);_(* "-"??_);_(@_)</c:formatCode>
                <c:ptCount val="4"/>
                <c:pt idx="0">
                  <c:v>16457634</c:v>
                </c:pt>
                <c:pt idx="1">
                  <c:v>10722000</c:v>
                </c:pt>
                <c:pt idx="2" formatCode="_(&quot;$&quot;* #,##0_);_(&quot;$&quot;* \(#,##0\);_(&quot;$&quot;* &quot;-&quot;??_);_(@_)">
                  <c:v>28072342</c:v>
                </c:pt>
                <c:pt idx="3">
                  <c:v>3785000</c:v>
                </c:pt>
              </c:numCache>
            </c:numRef>
          </c:val>
          <c:extLst>
            <c:ext xmlns:c16="http://schemas.microsoft.com/office/drawing/2014/chart" uri="{C3380CC4-5D6E-409C-BE32-E72D297353CC}">
              <c16:uniqueId val="{00000004-5903-4CBC-9949-3ABDAEAA4F0C}"/>
            </c:ext>
          </c:extLst>
        </c:ser>
        <c:dLbls>
          <c:showLegendKey val="0"/>
          <c:showVal val="0"/>
          <c:showCatName val="0"/>
          <c:showSerName val="0"/>
          <c:showPercent val="0"/>
          <c:showBubbleSize val="0"/>
        </c:dLbls>
        <c:gapWidth val="219"/>
        <c:overlap val="-27"/>
        <c:axId val="432219280"/>
        <c:axId val="432221904"/>
      </c:barChart>
      <c:catAx>
        <c:axId val="43221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21904"/>
        <c:crosses val="autoZero"/>
        <c:auto val="1"/>
        <c:lblAlgn val="ctr"/>
        <c:lblOffset val="100"/>
        <c:noMultiLvlLbl val="0"/>
      </c:catAx>
      <c:valAx>
        <c:axId val="4322219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1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Ellis, Rebecca</cp:lastModifiedBy>
  <cp:revision>5</cp:revision>
  <cp:lastPrinted>2017-06-28T16:23:00Z</cp:lastPrinted>
  <dcterms:created xsi:type="dcterms:W3CDTF">2017-06-28T16:23:00Z</dcterms:created>
  <dcterms:modified xsi:type="dcterms:W3CDTF">2017-06-28T17:10:00Z</dcterms:modified>
</cp:coreProperties>
</file>