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899" w:rsidRDefault="00856182" w:rsidP="00E13E00">
      <w:pPr>
        <w:spacing w:after="0"/>
        <w:jc w:val="center"/>
        <w:rPr>
          <w:rFonts w:ascii="Times New Roman" w:hAnsi="Times New Roman" w:cs="Times New Roman"/>
          <w:b/>
          <w:sz w:val="24"/>
          <w:szCs w:val="24"/>
        </w:rPr>
      </w:pPr>
      <w:r>
        <w:rPr>
          <w:rFonts w:ascii="Times New Roman" w:hAnsi="Times New Roman" w:cs="Times New Roman"/>
          <w:b/>
          <w:sz w:val="24"/>
          <w:szCs w:val="24"/>
        </w:rPr>
        <w:t>DRAFT MINUTES</w:t>
      </w:r>
    </w:p>
    <w:p w:rsidR="000F50BA" w:rsidRDefault="000F50BA" w:rsidP="00E13E00">
      <w:pPr>
        <w:spacing w:after="0"/>
        <w:jc w:val="center"/>
        <w:rPr>
          <w:rFonts w:ascii="Times New Roman" w:hAnsi="Times New Roman" w:cs="Times New Roman"/>
          <w:b/>
          <w:sz w:val="24"/>
          <w:szCs w:val="24"/>
        </w:rPr>
      </w:pPr>
    </w:p>
    <w:p w:rsidR="006848EF" w:rsidRPr="0075369A" w:rsidRDefault="00FC5920" w:rsidP="00BB53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Act 73 </w:t>
      </w:r>
      <w:r w:rsidR="006848EF" w:rsidRPr="0075369A">
        <w:rPr>
          <w:rFonts w:ascii="Times New Roman" w:hAnsi="Times New Roman" w:cs="Times New Roman"/>
          <w:b/>
          <w:sz w:val="24"/>
          <w:szCs w:val="24"/>
        </w:rPr>
        <w:t>Working Group o</w:t>
      </w:r>
      <w:r>
        <w:rPr>
          <w:rFonts w:ascii="Times New Roman" w:hAnsi="Times New Roman" w:cs="Times New Roman"/>
          <w:b/>
          <w:sz w:val="24"/>
          <w:szCs w:val="24"/>
        </w:rPr>
        <w:t>n Water Quality Funding</w:t>
      </w:r>
    </w:p>
    <w:p w:rsidR="006848EF" w:rsidRDefault="006848EF" w:rsidP="00BB53D1">
      <w:pPr>
        <w:spacing w:after="0"/>
        <w:jc w:val="center"/>
        <w:rPr>
          <w:rFonts w:ascii="Times New Roman" w:hAnsi="Times New Roman" w:cs="Times New Roman"/>
          <w:b/>
          <w:sz w:val="24"/>
          <w:szCs w:val="24"/>
        </w:rPr>
      </w:pPr>
      <w:r w:rsidRPr="0075369A">
        <w:rPr>
          <w:rFonts w:ascii="Times New Roman" w:hAnsi="Times New Roman" w:cs="Times New Roman"/>
          <w:b/>
          <w:sz w:val="24"/>
          <w:szCs w:val="24"/>
        </w:rPr>
        <w:t xml:space="preserve">National Life, </w:t>
      </w:r>
      <w:r w:rsidR="00BB53D1" w:rsidRPr="0075369A">
        <w:rPr>
          <w:rFonts w:ascii="Times New Roman" w:hAnsi="Times New Roman" w:cs="Times New Roman"/>
          <w:b/>
          <w:sz w:val="24"/>
          <w:szCs w:val="24"/>
        </w:rPr>
        <w:t>Catamount Room</w:t>
      </w:r>
    </w:p>
    <w:p w:rsidR="000F50BA" w:rsidRPr="000F50BA" w:rsidRDefault="000F50BA" w:rsidP="00BB53D1">
      <w:pPr>
        <w:spacing w:after="0"/>
        <w:jc w:val="center"/>
        <w:rPr>
          <w:rFonts w:ascii="Times New Roman" w:hAnsi="Times New Roman" w:cs="Times New Roman"/>
          <w:b/>
          <w:sz w:val="24"/>
          <w:szCs w:val="24"/>
        </w:rPr>
      </w:pPr>
      <w:r>
        <w:rPr>
          <w:rFonts w:ascii="Times New Roman" w:hAnsi="Times New Roman" w:cs="Times New Roman"/>
          <w:b/>
          <w:sz w:val="24"/>
          <w:szCs w:val="24"/>
        </w:rPr>
        <w:t>Call</w:t>
      </w:r>
      <w:r w:rsidRPr="000F50BA">
        <w:rPr>
          <w:rFonts w:ascii="Times New Roman" w:hAnsi="Times New Roman" w:cs="Times New Roman"/>
          <w:b/>
          <w:sz w:val="24"/>
          <w:szCs w:val="24"/>
        </w:rPr>
        <w:t xml:space="preserve">-In Number: </w:t>
      </w:r>
      <w:r w:rsidRPr="000F50BA">
        <w:rPr>
          <w:rFonts w:ascii="Times New Roman" w:hAnsi="Times New Roman" w:cs="Times New Roman"/>
          <w:b/>
          <w:bCs/>
          <w:sz w:val="24"/>
          <w:szCs w:val="24"/>
        </w:rPr>
        <w:t>(802) 448-4858</w:t>
      </w:r>
    </w:p>
    <w:p w:rsidR="00BB53D1" w:rsidRPr="0075369A" w:rsidRDefault="00AB69F2" w:rsidP="00BB53D1">
      <w:pPr>
        <w:spacing w:after="0"/>
        <w:jc w:val="center"/>
        <w:rPr>
          <w:rFonts w:ascii="Times New Roman" w:hAnsi="Times New Roman" w:cs="Times New Roman"/>
          <w:b/>
          <w:sz w:val="24"/>
          <w:szCs w:val="24"/>
        </w:rPr>
      </w:pPr>
      <w:r>
        <w:rPr>
          <w:rFonts w:ascii="Times New Roman" w:hAnsi="Times New Roman" w:cs="Times New Roman"/>
          <w:b/>
          <w:sz w:val="24"/>
          <w:szCs w:val="24"/>
        </w:rPr>
        <w:t>Friday, July 28</w:t>
      </w:r>
      <w:r w:rsidR="00BB53D1" w:rsidRPr="0075369A">
        <w:rPr>
          <w:rFonts w:ascii="Times New Roman" w:hAnsi="Times New Roman" w:cs="Times New Roman"/>
          <w:b/>
          <w:sz w:val="24"/>
          <w:szCs w:val="24"/>
        </w:rPr>
        <w:t>, 2017</w:t>
      </w:r>
    </w:p>
    <w:p w:rsidR="00C6286B" w:rsidRDefault="00FC5920" w:rsidP="00F34F05">
      <w:pPr>
        <w:spacing w:after="0"/>
        <w:jc w:val="center"/>
        <w:rPr>
          <w:rFonts w:ascii="Times New Roman" w:hAnsi="Times New Roman" w:cs="Times New Roman"/>
          <w:b/>
          <w:sz w:val="24"/>
          <w:szCs w:val="24"/>
        </w:rPr>
      </w:pPr>
      <w:r>
        <w:rPr>
          <w:rFonts w:ascii="Times New Roman" w:hAnsi="Times New Roman" w:cs="Times New Roman"/>
          <w:b/>
          <w:sz w:val="24"/>
          <w:szCs w:val="24"/>
        </w:rPr>
        <w:t>10:00-11:30</w:t>
      </w:r>
    </w:p>
    <w:p w:rsidR="00F34F05" w:rsidRDefault="00F34F05" w:rsidP="00F34F05">
      <w:pPr>
        <w:spacing w:after="0"/>
        <w:jc w:val="center"/>
        <w:rPr>
          <w:rFonts w:ascii="Times New Roman" w:hAnsi="Times New Roman" w:cs="Times New Roman"/>
          <w:sz w:val="24"/>
          <w:szCs w:val="24"/>
        </w:rPr>
      </w:pPr>
    </w:p>
    <w:p w:rsidR="006D6EA3" w:rsidRPr="005A2388" w:rsidRDefault="006D6EA3" w:rsidP="00BB53D1">
      <w:pPr>
        <w:spacing w:after="0"/>
        <w:rPr>
          <w:rFonts w:ascii="Times New Roman" w:hAnsi="Times New Roman" w:cs="Times New Roman"/>
          <w:sz w:val="24"/>
          <w:szCs w:val="24"/>
        </w:rPr>
      </w:pPr>
      <w:r w:rsidRPr="005A2388">
        <w:rPr>
          <w:rFonts w:ascii="Times New Roman" w:hAnsi="Times New Roman" w:cs="Times New Roman"/>
          <w:sz w:val="24"/>
          <w:szCs w:val="24"/>
        </w:rPr>
        <w:t>Working Group Members</w:t>
      </w:r>
      <w:r w:rsidR="00C6286B" w:rsidRPr="005A2388">
        <w:rPr>
          <w:rFonts w:ascii="Times New Roman" w:hAnsi="Times New Roman" w:cs="Times New Roman"/>
          <w:sz w:val="24"/>
          <w:szCs w:val="24"/>
        </w:rPr>
        <w:t>: ANR Secretary Julie Mo</w:t>
      </w:r>
      <w:r w:rsidR="005F33D2" w:rsidRPr="005A2388">
        <w:rPr>
          <w:rFonts w:ascii="Times New Roman" w:hAnsi="Times New Roman" w:cs="Times New Roman"/>
          <w:sz w:val="24"/>
          <w:szCs w:val="24"/>
        </w:rPr>
        <w:t>ore, Tax Commissioner Kaj Samsom</w:t>
      </w:r>
      <w:r w:rsidR="00C6286B" w:rsidRPr="005A2388">
        <w:rPr>
          <w:rFonts w:ascii="Times New Roman" w:hAnsi="Times New Roman" w:cs="Times New Roman"/>
          <w:sz w:val="24"/>
          <w:szCs w:val="24"/>
        </w:rPr>
        <w:t xml:space="preserve">, AAFM Secretary Anson Tebbetts, VCGI Director John Adams, </w:t>
      </w:r>
      <w:r w:rsidRPr="005A2388">
        <w:rPr>
          <w:rFonts w:ascii="Times New Roman" w:hAnsi="Times New Roman" w:cs="Times New Roman"/>
          <w:sz w:val="24"/>
          <w:szCs w:val="24"/>
        </w:rPr>
        <w:t xml:space="preserve">VLCT Gwynn </w:t>
      </w:r>
      <w:proofErr w:type="spellStart"/>
      <w:r w:rsidRPr="005A2388">
        <w:rPr>
          <w:rFonts w:ascii="Times New Roman" w:hAnsi="Times New Roman" w:cs="Times New Roman"/>
          <w:sz w:val="24"/>
          <w:szCs w:val="24"/>
        </w:rPr>
        <w:t>Zakov</w:t>
      </w:r>
      <w:proofErr w:type="spellEnd"/>
      <w:r w:rsidRPr="005A2388">
        <w:rPr>
          <w:rFonts w:ascii="Times New Roman" w:hAnsi="Times New Roman" w:cs="Times New Roman"/>
          <w:sz w:val="24"/>
          <w:szCs w:val="24"/>
        </w:rPr>
        <w:t>,</w:t>
      </w:r>
      <w:r w:rsidR="00C6286B" w:rsidRPr="005A2388">
        <w:rPr>
          <w:rFonts w:ascii="Times New Roman" w:hAnsi="Times New Roman" w:cs="Times New Roman"/>
          <w:sz w:val="24"/>
          <w:szCs w:val="24"/>
        </w:rPr>
        <w:t xml:space="preserve"> </w:t>
      </w:r>
      <w:r w:rsidR="00856182">
        <w:rPr>
          <w:rFonts w:ascii="Times New Roman" w:hAnsi="Times New Roman" w:cs="Times New Roman"/>
          <w:sz w:val="24"/>
          <w:szCs w:val="24"/>
        </w:rPr>
        <w:t>John Grenier</w:t>
      </w:r>
      <w:r w:rsidR="00E400AB">
        <w:rPr>
          <w:rFonts w:ascii="Times New Roman" w:hAnsi="Times New Roman" w:cs="Times New Roman"/>
          <w:sz w:val="24"/>
          <w:szCs w:val="24"/>
        </w:rPr>
        <w:t xml:space="preserve"> of Grenier Engineering</w:t>
      </w:r>
    </w:p>
    <w:p w:rsidR="006D6EA3" w:rsidRPr="005A2388" w:rsidRDefault="006D6EA3" w:rsidP="00BB53D1">
      <w:pPr>
        <w:spacing w:after="0"/>
        <w:rPr>
          <w:rFonts w:ascii="Times New Roman" w:hAnsi="Times New Roman" w:cs="Times New Roman"/>
          <w:sz w:val="24"/>
          <w:szCs w:val="24"/>
        </w:rPr>
      </w:pPr>
    </w:p>
    <w:p w:rsidR="00C6286B" w:rsidRPr="005A2388" w:rsidRDefault="006D6EA3" w:rsidP="00BB53D1">
      <w:pPr>
        <w:spacing w:after="0"/>
        <w:rPr>
          <w:rFonts w:ascii="Times New Roman" w:hAnsi="Times New Roman" w:cs="Times New Roman"/>
          <w:sz w:val="24"/>
          <w:szCs w:val="24"/>
        </w:rPr>
      </w:pPr>
      <w:r w:rsidRPr="005A2388">
        <w:rPr>
          <w:rFonts w:ascii="Times New Roman" w:hAnsi="Times New Roman" w:cs="Times New Roman"/>
          <w:sz w:val="24"/>
          <w:szCs w:val="24"/>
        </w:rPr>
        <w:t xml:space="preserve">Others:  Tax Analyst Andrew Stein, </w:t>
      </w:r>
      <w:proofErr w:type="spellStart"/>
      <w:r w:rsidR="00C6286B" w:rsidRPr="005A2388">
        <w:rPr>
          <w:rFonts w:ascii="Times New Roman" w:hAnsi="Times New Roman" w:cs="Times New Roman"/>
          <w:sz w:val="24"/>
          <w:szCs w:val="24"/>
        </w:rPr>
        <w:t>VTrans</w:t>
      </w:r>
      <w:proofErr w:type="spellEnd"/>
      <w:r w:rsidR="00C6286B" w:rsidRPr="005A2388">
        <w:rPr>
          <w:rFonts w:ascii="Times New Roman" w:hAnsi="Times New Roman" w:cs="Times New Roman"/>
          <w:sz w:val="24"/>
          <w:szCs w:val="24"/>
        </w:rPr>
        <w:t xml:space="preserve"> Michele Boomhower, AAFM Diane Bothfeld (by phone</w:t>
      </w:r>
      <w:proofErr w:type="gramStart"/>
      <w:r w:rsidR="00C6286B" w:rsidRPr="005A2388">
        <w:rPr>
          <w:rFonts w:ascii="Times New Roman" w:hAnsi="Times New Roman" w:cs="Times New Roman"/>
          <w:sz w:val="24"/>
          <w:szCs w:val="24"/>
        </w:rPr>
        <w:t>),  DEC</w:t>
      </w:r>
      <w:proofErr w:type="gramEnd"/>
      <w:r w:rsidR="00C6286B" w:rsidRPr="005A2388">
        <w:rPr>
          <w:rFonts w:ascii="Times New Roman" w:hAnsi="Times New Roman" w:cs="Times New Roman"/>
          <w:sz w:val="24"/>
          <w:szCs w:val="24"/>
        </w:rPr>
        <w:t xml:space="preserve"> Deputy Commissioner Rebecca Ellis, Vermont </w:t>
      </w:r>
      <w:r w:rsidR="005F33D2" w:rsidRPr="005A2388">
        <w:rPr>
          <w:rFonts w:ascii="Times New Roman" w:hAnsi="Times New Roman" w:cs="Times New Roman"/>
          <w:sz w:val="24"/>
          <w:szCs w:val="24"/>
        </w:rPr>
        <w:t>Chamber Ashley Romeo-Boles,  LCC</w:t>
      </w:r>
      <w:r w:rsidR="00E400AB">
        <w:rPr>
          <w:rFonts w:ascii="Times New Roman" w:hAnsi="Times New Roman" w:cs="Times New Roman"/>
          <w:sz w:val="24"/>
          <w:szCs w:val="24"/>
        </w:rPr>
        <w:t xml:space="preserve"> Jared Carpenter,</w:t>
      </w:r>
      <w:r w:rsidR="00C6286B" w:rsidRPr="005A2388">
        <w:rPr>
          <w:rFonts w:ascii="Times New Roman" w:hAnsi="Times New Roman" w:cs="Times New Roman"/>
          <w:sz w:val="24"/>
          <w:szCs w:val="24"/>
        </w:rPr>
        <w:t xml:space="preserve"> Rep. David Deen (by phone),</w:t>
      </w:r>
      <w:r w:rsidR="00E400AB">
        <w:rPr>
          <w:rFonts w:ascii="Times New Roman" w:hAnsi="Times New Roman" w:cs="Times New Roman"/>
          <w:sz w:val="24"/>
          <w:szCs w:val="24"/>
        </w:rPr>
        <w:t xml:space="preserve"> Douglas </w:t>
      </w:r>
      <w:proofErr w:type="spellStart"/>
      <w:r w:rsidR="00E400AB">
        <w:rPr>
          <w:rFonts w:ascii="Times New Roman" w:hAnsi="Times New Roman" w:cs="Times New Roman"/>
          <w:sz w:val="24"/>
          <w:szCs w:val="24"/>
        </w:rPr>
        <w:t>Farnham</w:t>
      </w:r>
      <w:proofErr w:type="spellEnd"/>
      <w:r w:rsidR="00E400AB">
        <w:rPr>
          <w:rFonts w:ascii="Times New Roman" w:hAnsi="Times New Roman" w:cs="Times New Roman"/>
          <w:sz w:val="24"/>
          <w:szCs w:val="24"/>
        </w:rPr>
        <w:t xml:space="preserve">, Dominic </w:t>
      </w:r>
      <w:r w:rsidR="005F33D2" w:rsidRPr="005A2388">
        <w:rPr>
          <w:rFonts w:ascii="Times New Roman" w:hAnsi="Times New Roman" w:cs="Times New Roman"/>
          <w:sz w:val="24"/>
          <w:szCs w:val="24"/>
        </w:rPr>
        <w:t xml:space="preserve">Cloud, Sen. Chris Bray, Jeff </w:t>
      </w:r>
      <w:proofErr w:type="spellStart"/>
      <w:r w:rsidR="005F33D2" w:rsidRPr="005A2388">
        <w:rPr>
          <w:rFonts w:ascii="Times New Roman" w:hAnsi="Times New Roman" w:cs="Times New Roman"/>
          <w:sz w:val="24"/>
          <w:szCs w:val="24"/>
        </w:rPr>
        <w:t>Wennberg</w:t>
      </w:r>
      <w:proofErr w:type="spellEnd"/>
      <w:r w:rsidR="005F33D2" w:rsidRPr="005A2388">
        <w:rPr>
          <w:rFonts w:ascii="Times New Roman" w:hAnsi="Times New Roman" w:cs="Times New Roman"/>
          <w:sz w:val="24"/>
          <w:szCs w:val="24"/>
        </w:rPr>
        <w:t xml:space="preserve">, Chuck Ross, </w:t>
      </w:r>
      <w:proofErr w:type="spellStart"/>
      <w:r w:rsidR="00BF252B" w:rsidRPr="005A2388">
        <w:rPr>
          <w:rFonts w:ascii="Times New Roman" w:hAnsi="Times New Roman" w:cs="Times New Roman"/>
          <w:sz w:val="24"/>
          <w:szCs w:val="24"/>
        </w:rPr>
        <w:t>Ashten</w:t>
      </w:r>
      <w:proofErr w:type="spellEnd"/>
      <w:r w:rsidR="00F80AF0" w:rsidRPr="005A2388">
        <w:rPr>
          <w:rFonts w:ascii="Times New Roman" w:hAnsi="Times New Roman" w:cs="Times New Roman"/>
          <w:sz w:val="24"/>
          <w:szCs w:val="24"/>
        </w:rPr>
        <w:t xml:space="preserve"> Stringer, Matt Musgrave</w:t>
      </w:r>
    </w:p>
    <w:p w:rsidR="00C6286B" w:rsidRDefault="00C6286B" w:rsidP="00BB53D1">
      <w:pPr>
        <w:spacing w:after="0"/>
        <w:rPr>
          <w:rFonts w:ascii="Times New Roman" w:hAnsi="Times New Roman" w:cs="Times New Roman"/>
          <w:sz w:val="24"/>
          <w:szCs w:val="24"/>
        </w:rPr>
      </w:pPr>
    </w:p>
    <w:p w:rsidR="00F80AF0" w:rsidRPr="00F80AF0" w:rsidRDefault="00F80AF0" w:rsidP="002E5DF1">
      <w:pPr>
        <w:pStyle w:val="ListParagraph"/>
        <w:numPr>
          <w:ilvl w:val="0"/>
          <w:numId w:val="25"/>
        </w:numPr>
        <w:spacing w:after="0"/>
        <w:ind w:left="360"/>
        <w:rPr>
          <w:rFonts w:ascii="Times New Roman" w:hAnsi="Times New Roman" w:cs="Times New Roman"/>
          <w:sz w:val="24"/>
          <w:szCs w:val="24"/>
        </w:rPr>
      </w:pPr>
      <w:r w:rsidRPr="00FF48CB">
        <w:rPr>
          <w:rFonts w:ascii="Times New Roman" w:hAnsi="Times New Roman" w:cs="Times New Roman"/>
          <w:sz w:val="24"/>
          <w:szCs w:val="24"/>
          <w:u w:val="single"/>
        </w:rPr>
        <w:t>Review Agenda</w:t>
      </w:r>
      <w:r>
        <w:rPr>
          <w:rFonts w:ascii="Times New Roman" w:hAnsi="Times New Roman" w:cs="Times New Roman"/>
          <w:sz w:val="24"/>
          <w:szCs w:val="24"/>
        </w:rPr>
        <w:t xml:space="preserve">.  </w:t>
      </w:r>
      <w:r w:rsidRPr="00F80AF0">
        <w:rPr>
          <w:rFonts w:ascii="Times New Roman" w:hAnsi="Times New Roman" w:cs="Times New Roman"/>
          <w:sz w:val="24"/>
          <w:szCs w:val="24"/>
        </w:rPr>
        <w:t>The Working Group reviewed the draft agenda</w:t>
      </w:r>
      <w:r w:rsidR="00856182">
        <w:rPr>
          <w:rFonts w:ascii="Times New Roman" w:hAnsi="Times New Roman" w:cs="Times New Roman"/>
          <w:sz w:val="24"/>
          <w:szCs w:val="24"/>
        </w:rPr>
        <w:t xml:space="preserve"> for 7/28/2017</w:t>
      </w:r>
      <w:r w:rsidRPr="00F80AF0">
        <w:rPr>
          <w:rFonts w:ascii="Times New Roman" w:hAnsi="Times New Roman" w:cs="Times New Roman"/>
          <w:sz w:val="24"/>
          <w:szCs w:val="24"/>
        </w:rPr>
        <w:t>. There were no changes to the draft agenda.</w:t>
      </w:r>
    </w:p>
    <w:p w:rsidR="00635899" w:rsidRDefault="00635899" w:rsidP="002E5DF1">
      <w:pPr>
        <w:spacing w:after="0"/>
        <w:ind w:left="360"/>
        <w:rPr>
          <w:rFonts w:ascii="Times New Roman" w:hAnsi="Times New Roman" w:cs="Times New Roman"/>
          <w:sz w:val="24"/>
          <w:szCs w:val="24"/>
        </w:rPr>
      </w:pPr>
    </w:p>
    <w:p w:rsidR="00F80AF0" w:rsidRDefault="00BD6184" w:rsidP="002E5DF1">
      <w:pPr>
        <w:pStyle w:val="ListParagraph"/>
        <w:numPr>
          <w:ilvl w:val="0"/>
          <w:numId w:val="25"/>
        </w:numPr>
        <w:spacing w:after="0"/>
        <w:ind w:left="360"/>
        <w:rPr>
          <w:rFonts w:ascii="Times New Roman" w:hAnsi="Times New Roman" w:cs="Times New Roman"/>
          <w:sz w:val="24"/>
          <w:szCs w:val="24"/>
        </w:rPr>
      </w:pPr>
      <w:r w:rsidRPr="00FF48CB">
        <w:rPr>
          <w:rFonts w:ascii="Times New Roman" w:hAnsi="Times New Roman" w:cs="Times New Roman"/>
          <w:sz w:val="24"/>
          <w:szCs w:val="24"/>
          <w:u w:val="single"/>
        </w:rPr>
        <w:t>Minutes from 7/14</w:t>
      </w:r>
      <w:r w:rsidR="00F80AF0" w:rsidRPr="00FF48CB">
        <w:rPr>
          <w:rFonts w:ascii="Times New Roman" w:hAnsi="Times New Roman" w:cs="Times New Roman"/>
          <w:sz w:val="24"/>
          <w:szCs w:val="24"/>
          <w:u w:val="single"/>
        </w:rPr>
        <w:t>/2017</w:t>
      </w:r>
      <w:r w:rsidR="00F80AF0" w:rsidRPr="00FA086D">
        <w:rPr>
          <w:rFonts w:ascii="Times New Roman" w:hAnsi="Times New Roman" w:cs="Times New Roman"/>
          <w:sz w:val="24"/>
          <w:szCs w:val="24"/>
        </w:rPr>
        <w:t>.  The Working Group re</w:t>
      </w:r>
      <w:r>
        <w:rPr>
          <w:rFonts w:ascii="Times New Roman" w:hAnsi="Times New Roman" w:cs="Times New Roman"/>
          <w:sz w:val="24"/>
          <w:szCs w:val="24"/>
        </w:rPr>
        <w:t>viewed the minutes from the 7/14</w:t>
      </w:r>
      <w:r w:rsidR="00F80AF0">
        <w:rPr>
          <w:rFonts w:ascii="Times New Roman" w:hAnsi="Times New Roman" w:cs="Times New Roman"/>
          <w:sz w:val="24"/>
          <w:szCs w:val="24"/>
        </w:rPr>
        <w:t xml:space="preserve">/2017 meeting and corrections were noted. </w:t>
      </w:r>
      <w:r w:rsidR="00F80AF0" w:rsidRPr="00FA086D">
        <w:rPr>
          <w:rFonts w:ascii="Times New Roman" w:hAnsi="Times New Roman" w:cs="Times New Roman"/>
          <w:sz w:val="24"/>
          <w:szCs w:val="24"/>
        </w:rPr>
        <w:t xml:space="preserve"> The motion to approve the minutes</w:t>
      </w:r>
      <w:r w:rsidR="002E5DF1">
        <w:rPr>
          <w:rFonts w:ascii="Times New Roman" w:hAnsi="Times New Roman" w:cs="Times New Roman"/>
          <w:sz w:val="24"/>
          <w:szCs w:val="24"/>
        </w:rPr>
        <w:t xml:space="preserve"> as amended</w:t>
      </w:r>
      <w:r w:rsidR="00F80AF0" w:rsidRPr="00FA086D">
        <w:rPr>
          <w:rFonts w:ascii="Times New Roman" w:hAnsi="Times New Roman" w:cs="Times New Roman"/>
          <w:sz w:val="24"/>
          <w:szCs w:val="24"/>
        </w:rPr>
        <w:t xml:space="preserve"> </w:t>
      </w:r>
      <w:r w:rsidR="002E5DF1">
        <w:rPr>
          <w:rFonts w:ascii="Times New Roman" w:hAnsi="Times New Roman" w:cs="Times New Roman"/>
          <w:sz w:val="24"/>
          <w:szCs w:val="24"/>
        </w:rPr>
        <w:t>passed unanimously.</w:t>
      </w:r>
    </w:p>
    <w:p w:rsidR="00F80AF0" w:rsidRPr="00F80AF0" w:rsidRDefault="00F80AF0" w:rsidP="002E5DF1">
      <w:pPr>
        <w:pStyle w:val="ListParagraph"/>
        <w:ind w:left="360"/>
        <w:rPr>
          <w:rFonts w:ascii="Times New Roman" w:hAnsi="Times New Roman" w:cs="Times New Roman"/>
          <w:sz w:val="24"/>
          <w:szCs w:val="24"/>
        </w:rPr>
      </w:pPr>
    </w:p>
    <w:p w:rsidR="005A2388" w:rsidRDefault="00856182" w:rsidP="002E5DF1">
      <w:pPr>
        <w:pStyle w:val="ListParagraph"/>
        <w:numPr>
          <w:ilvl w:val="0"/>
          <w:numId w:val="25"/>
        </w:numPr>
        <w:spacing w:after="0"/>
        <w:ind w:left="360"/>
        <w:rPr>
          <w:rFonts w:ascii="Times New Roman" w:hAnsi="Times New Roman" w:cs="Times New Roman"/>
          <w:sz w:val="24"/>
          <w:szCs w:val="24"/>
        </w:rPr>
      </w:pPr>
      <w:r w:rsidRPr="00FF48CB">
        <w:rPr>
          <w:rFonts w:ascii="Times New Roman" w:hAnsi="Times New Roman" w:cs="Times New Roman"/>
          <w:sz w:val="24"/>
          <w:szCs w:val="24"/>
          <w:u w:val="single"/>
        </w:rPr>
        <w:t xml:space="preserve">Administration of </w:t>
      </w:r>
      <w:r w:rsidR="002E5DF1" w:rsidRPr="00FF48CB">
        <w:rPr>
          <w:rFonts w:ascii="Times New Roman" w:hAnsi="Times New Roman" w:cs="Times New Roman"/>
          <w:sz w:val="24"/>
          <w:szCs w:val="24"/>
          <w:u w:val="single"/>
        </w:rPr>
        <w:t>Parcel and Impervious Surface</w:t>
      </w:r>
      <w:r w:rsidRPr="00FF48CB">
        <w:rPr>
          <w:rFonts w:ascii="Times New Roman" w:hAnsi="Times New Roman" w:cs="Times New Roman"/>
          <w:sz w:val="24"/>
          <w:szCs w:val="24"/>
          <w:u w:val="single"/>
        </w:rPr>
        <w:t xml:space="preserve"> </w:t>
      </w:r>
      <w:proofErr w:type="spellStart"/>
      <w:r w:rsidRPr="00FF48CB">
        <w:rPr>
          <w:rFonts w:ascii="Times New Roman" w:hAnsi="Times New Roman" w:cs="Times New Roman"/>
          <w:sz w:val="24"/>
          <w:szCs w:val="24"/>
          <w:u w:val="single"/>
        </w:rPr>
        <w:t>Stormwater</w:t>
      </w:r>
      <w:proofErr w:type="spellEnd"/>
      <w:r w:rsidR="002E5DF1" w:rsidRPr="00FF48CB">
        <w:rPr>
          <w:rFonts w:ascii="Times New Roman" w:hAnsi="Times New Roman" w:cs="Times New Roman"/>
          <w:sz w:val="24"/>
          <w:szCs w:val="24"/>
          <w:u w:val="single"/>
        </w:rPr>
        <w:t xml:space="preserve"> Fees</w:t>
      </w:r>
      <w:r w:rsidR="002E5DF1">
        <w:rPr>
          <w:rFonts w:ascii="Times New Roman" w:hAnsi="Times New Roman" w:cs="Times New Roman"/>
          <w:sz w:val="24"/>
          <w:szCs w:val="24"/>
        </w:rPr>
        <w:t xml:space="preserve">.  </w:t>
      </w:r>
    </w:p>
    <w:p w:rsidR="005A2388" w:rsidRPr="005A2388" w:rsidRDefault="005A2388" w:rsidP="005A2388">
      <w:pPr>
        <w:pStyle w:val="ListParagraph"/>
        <w:rPr>
          <w:rFonts w:ascii="Times New Roman" w:hAnsi="Times New Roman" w:cs="Times New Roman"/>
          <w:sz w:val="24"/>
          <w:szCs w:val="24"/>
        </w:rPr>
      </w:pPr>
    </w:p>
    <w:p w:rsidR="00F80AF0" w:rsidRDefault="002E5DF1" w:rsidP="005A2388">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The Working Group </w:t>
      </w:r>
      <w:r w:rsidR="005A2388">
        <w:rPr>
          <w:rFonts w:ascii="Times New Roman" w:hAnsi="Times New Roman" w:cs="Times New Roman"/>
          <w:sz w:val="24"/>
          <w:szCs w:val="24"/>
        </w:rPr>
        <w:t>reviewed various options for the admi</w:t>
      </w:r>
      <w:r w:rsidR="00856182">
        <w:rPr>
          <w:rFonts w:ascii="Times New Roman" w:hAnsi="Times New Roman" w:cs="Times New Roman"/>
          <w:sz w:val="24"/>
          <w:szCs w:val="24"/>
        </w:rPr>
        <w:t xml:space="preserve">nistration of </w:t>
      </w:r>
      <w:proofErr w:type="spellStart"/>
      <w:r w:rsidR="00856182">
        <w:rPr>
          <w:rFonts w:ascii="Times New Roman" w:hAnsi="Times New Roman" w:cs="Times New Roman"/>
          <w:sz w:val="24"/>
          <w:szCs w:val="24"/>
        </w:rPr>
        <w:t>stormwater</w:t>
      </w:r>
      <w:proofErr w:type="spellEnd"/>
      <w:r w:rsidR="00856182">
        <w:rPr>
          <w:rFonts w:ascii="Times New Roman" w:hAnsi="Times New Roman" w:cs="Times New Roman"/>
          <w:sz w:val="24"/>
          <w:szCs w:val="24"/>
        </w:rPr>
        <w:t xml:space="preserve"> fees.  The four options under consideration, and discussed on 7/14/2017, are: (1) statewide collection of both the education property tax and </w:t>
      </w:r>
      <w:proofErr w:type="spellStart"/>
      <w:r w:rsidR="00856182">
        <w:rPr>
          <w:rFonts w:ascii="Times New Roman" w:hAnsi="Times New Roman" w:cs="Times New Roman"/>
          <w:sz w:val="24"/>
          <w:szCs w:val="24"/>
        </w:rPr>
        <w:t>stormwater</w:t>
      </w:r>
      <w:proofErr w:type="spellEnd"/>
      <w:r w:rsidR="00856182">
        <w:rPr>
          <w:rFonts w:ascii="Times New Roman" w:hAnsi="Times New Roman" w:cs="Times New Roman"/>
          <w:sz w:val="24"/>
          <w:szCs w:val="24"/>
        </w:rPr>
        <w:t xml:space="preserve"> fee; (2) parallel collection systems with the education property tax collected locally and </w:t>
      </w:r>
      <w:proofErr w:type="spellStart"/>
      <w:r w:rsidR="00856182">
        <w:rPr>
          <w:rFonts w:ascii="Times New Roman" w:hAnsi="Times New Roman" w:cs="Times New Roman"/>
          <w:sz w:val="24"/>
          <w:szCs w:val="24"/>
        </w:rPr>
        <w:t>stormwater</w:t>
      </w:r>
      <w:proofErr w:type="spellEnd"/>
      <w:r w:rsidR="00856182">
        <w:rPr>
          <w:rFonts w:ascii="Times New Roman" w:hAnsi="Times New Roman" w:cs="Times New Roman"/>
          <w:sz w:val="24"/>
          <w:szCs w:val="24"/>
        </w:rPr>
        <w:t xml:space="preserve"> fee collected by the state; (3) municipal collection of both the education property tax and </w:t>
      </w:r>
      <w:proofErr w:type="spellStart"/>
      <w:r w:rsidR="00856182">
        <w:rPr>
          <w:rFonts w:ascii="Times New Roman" w:hAnsi="Times New Roman" w:cs="Times New Roman"/>
          <w:sz w:val="24"/>
          <w:szCs w:val="24"/>
        </w:rPr>
        <w:t>stormwater</w:t>
      </w:r>
      <w:proofErr w:type="spellEnd"/>
      <w:r w:rsidR="00856182">
        <w:rPr>
          <w:rFonts w:ascii="Times New Roman" w:hAnsi="Times New Roman" w:cs="Times New Roman"/>
          <w:sz w:val="24"/>
          <w:szCs w:val="24"/>
        </w:rPr>
        <w:t xml:space="preserve"> fee; and (4) collection of </w:t>
      </w:r>
      <w:proofErr w:type="spellStart"/>
      <w:r w:rsidR="00856182">
        <w:rPr>
          <w:rFonts w:ascii="Times New Roman" w:hAnsi="Times New Roman" w:cs="Times New Roman"/>
          <w:sz w:val="24"/>
          <w:szCs w:val="24"/>
        </w:rPr>
        <w:t>stormwater</w:t>
      </w:r>
      <w:proofErr w:type="spellEnd"/>
      <w:r w:rsidR="00856182">
        <w:rPr>
          <w:rFonts w:ascii="Times New Roman" w:hAnsi="Times New Roman" w:cs="Times New Roman"/>
          <w:sz w:val="24"/>
          <w:szCs w:val="24"/>
        </w:rPr>
        <w:t xml:space="preserve"> fees by local, regional, statewide or agricultural utilities.</w:t>
      </w:r>
    </w:p>
    <w:p w:rsidR="005F33D2" w:rsidRDefault="005F33D2" w:rsidP="002E5DF1">
      <w:pPr>
        <w:spacing w:after="0"/>
        <w:ind w:left="360"/>
        <w:rPr>
          <w:rFonts w:ascii="Times New Roman" w:hAnsi="Times New Roman" w:cs="Times New Roman"/>
          <w:sz w:val="24"/>
          <w:szCs w:val="24"/>
        </w:rPr>
      </w:pPr>
    </w:p>
    <w:p w:rsidR="00597421" w:rsidRDefault="002E5DF1" w:rsidP="005A2388">
      <w:pPr>
        <w:pStyle w:val="ListParagraph"/>
        <w:numPr>
          <w:ilvl w:val="1"/>
          <w:numId w:val="25"/>
        </w:numPr>
        <w:spacing w:after="0"/>
        <w:ind w:left="720"/>
        <w:rPr>
          <w:rFonts w:ascii="Times New Roman" w:hAnsi="Times New Roman" w:cs="Times New Roman"/>
          <w:sz w:val="24"/>
          <w:szCs w:val="24"/>
        </w:rPr>
      </w:pPr>
      <w:r w:rsidRPr="00B23930">
        <w:rPr>
          <w:rFonts w:ascii="Times New Roman" w:hAnsi="Times New Roman" w:cs="Times New Roman"/>
          <w:sz w:val="24"/>
          <w:szCs w:val="24"/>
          <w:u w:val="single"/>
        </w:rPr>
        <w:t>Statewide collection of</w:t>
      </w:r>
      <w:r w:rsidR="00856182">
        <w:rPr>
          <w:rFonts w:ascii="Times New Roman" w:hAnsi="Times New Roman" w:cs="Times New Roman"/>
          <w:sz w:val="24"/>
          <w:szCs w:val="24"/>
          <w:u w:val="single"/>
        </w:rPr>
        <w:t xml:space="preserve"> both</w:t>
      </w:r>
      <w:r w:rsidRPr="00B23930">
        <w:rPr>
          <w:rFonts w:ascii="Times New Roman" w:hAnsi="Times New Roman" w:cs="Times New Roman"/>
          <w:sz w:val="24"/>
          <w:szCs w:val="24"/>
          <w:u w:val="single"/>
        </w:rPr>
        <w:t xml:space="preserve"> the education property tax and </w:t>
      </w:r>
      <w:proofErr w:type="spellStart"/>
      <w:r w:rsidRPr="00B23930">
        <w:rPr>
          <w:rFonts w:ascii="Times New Roman" w:hAnsi="Times New Roman" w:cs="Times New Roman"/>
          <w:sz w:val="24"/>
          <w:szCs w:val="24"/>
          <w:u w:val="single"/>
        </w:rPr>
        <w:t>stormwater</w:t>
      </w:r>
      <w:proofErr w:type="spellEnd"/>
      <w:r w:rsidRPr="00B23930">
        <w:rPr>
          <w:rFonts w:ascii="Times New Roman" w:hAnsi="Times New Roman" w:cs="Times New Roman"/>
          <w:sz w:val="24"/>
          <w:szCs w:val="24"/>
          <w:u w:val="single"/>
        </w:rPr>
        <w:t xml:space="preserve"> fee. </w:t>
      </w:r>
      <w:r w:rsidR="001F5F96" w:rsidRPr="005A2388">
        <w:rPr>
          <w:rFonts w:ascii="Times New Roman" w:hAnsi="Times New Roman" w:cs="Times New Roman"/>
          <w:sz w:val="24"/>
          <w:szCs w:val="24"/>
        </w:rPr>
        <w:t xml:space="preserve"> The Working Group discussed extensively the idea of collecting both the education property tax and a </w:t>
      </w:r>
      <w:proofErr w:type="spellStart"/>
      <w:r w:rsidR="001F5F96" w:rsidRPr="005A2388">
        <w:rPr>
          <w:rFonts w:ascii="Times New Roman" w:hAnsi="Times New Roman" w:cs="Times New Roman"/>
          <w:sz w:val="24"/>
          <w:szCs w:val="24"/>
        </w:rPr>
        <w:t>stormwater</w:t>
      </w:r>
      <w:proofErr w:type="spellEnd"/>
      <w:r w:rsidR="001F5F96" w:rsidRPr="005A2388">
        <w:rPr>
          <w:rFonts w:ascii="Times New Roman" w:hAnsi="Times New Roman" w:cs="Times New Roman"/>
          <w:sz w:val="24"/>
          <w:szCs w:val="24"/>
        </w:rPr>
        <w:t xml:space="preserve"> fee at the state level.  </w:t>
      </w:r>
      <w:r w:rsidRPr="005A2388">
        <w:rPr>
          <w:rFonts w:ascii="Times New Roman" w:hAnsi="Times New Roman" w:cs="Times New Roman"/>
          <w:sz w:val="24"/>
          <w:szCs w:val="24"/>
        </w:rPr>
        <w:t xml:space="preserve">It was noted that statewide collection of the education tax </w:t>
      </w:r>
      <w:r w:rsidR="001F5F96" w:rsidRPr="005A2388">
        <w:rPr>
          <w:rFonts w:ascii="Times New Roman" w:hAnsi="Times New Roman" w:cs="Times New Roman"/>
          <w:sz w:val="24"/>
          <w:szCs w:val="24"/>
        </w:rPr>
        <w:t>would represent</w:t>
      </w:r>
      <w:r w:rsidRPr="005A2388">
        <w:rPr>
          <w:rFonts w:ascii="Times New Roman" w:hAnsi="Times New Roman" w:cs="Times New Roman"/>
          <w:sz w:val="24"/>
          <w:szCs w:val="24"/>
        </w:rPr>
        <w:t xml:space="preserve"> a fundamental shift in Vermont tax policy.  </w:t>
      </w:r>
    </w:p>
    <w:p w:rsidR="00597421" w:rsidRPr="00597421" w:rsidRDefault="00597421" w:rsidP="00597421">
      <w:pPr>
        <w:spacing w:after="0"/>
        <w:ind w:left="360"/>
        <w:rPr>
          <w:rFonts w:ascii="Times New Roman" w:hAnsi="Times New Roman" w:cs="Times New Roman"/>
          <w:sz w:val="24"/>
          <w:szCs w:val="24"/>
        </w:rPr>
      </w:pPr>
    </w:p>
    <w:p w:rsidR="002E5DF1" w:rsidRPr="00597421" w:rsidRDefault="002E5DF1" w:rsidP="00597421">
      <w:pPr>
        <w:spacing w:after="0"/>
        <w:ind w:left="720"/>
        <w:rPr>
          <w:rFonts w:ascii="Times New Roman" w:hAnsi="Times New Roman" w:cs="Times New Roman"/>
          <w:sz w:val="24"/>
          <w:szCs w:val="24"/>
        </w:rPr>
      </w:pPr>
      <w:r w:rsidRPr="00597421">
        <w:rPr>
          <w:rFonts w:ascii="Times New Roman" w:hAnsi="Times New Roman" w:cs="Times New Roman"/>
          <w:sz w:val="24"/>
          <w:szCs w:val="24"/>
        </w:rPr>
        <w:t xml:space="preserve">The Vermont Tax Department emphasized that a shift of this magnitude must be transparent and </w:t>
      </w:r>
      <w:r w:rsidRPr="00597421">
        <w:rPr>
          <w:rFonts w:ascii="Times New Roman" w:hAnsi="Times New Roman" w:cs="Times New Roman"/>
          <w:sz w:val="24"/>
          <w:szCs w:val="24"/>
        </w:rPr>
        <w:t>would require strong legislative support</w:t>
      </w:r>
      <w:r w:rsidRPr="00597421">
        <w:rPr>
          <w:rFonts w:ascii="Times New Roman" w:hAnsi="Times New Roman" w:cs="Times New Roman"/>
          <w:sz w:val="24"/>
          <w:szCs w:val="24"/>
        </w:rPr>
        <w:t xml:space="preserve">. </w:t>
      </w:r>
      <w:r w:rsidR="005A2388" w:rsidRPr="00597421">
        <w:rPr>
          <w:rFonts w:ascii="Times New Roman" w:hAnsi="Times New Roman" w:cs="Times New Roman"/>
          <w:sz w:val="24"/>
          <w:szCs w:val="24"/>
        </w:rPr>
        <w:t xml:space="preserve"> </w:t>
      </w:r>
      <w:r w:rsidRPr="00597421">
        <w:rPr>
          <w:rFonts w:ascii="Times New Roman" w:hAnsi="Times New Roman" w:cs="Times New Roman"/>
          <w:sz w:val="24"/>
          <w:szCs w:val="24"/>
        </w:rPr>
        <w:t xml:space="preserve">Vermont municipalities are divided on </w:t>
      </w:r>
      <w:r w:rsidRPr="00597421">
        <w:rPr>
          <w:rFonts w:ascii="Times New Roman" w:hAnsi="Times New Roman" w:cs="Times New Roman"/>
          <w:sz w:val="24"/>
          <w:szCs w:val="24"/>
        </w:rPr>
        <w:t xml:space="preserve">whether the education property tax should be collected locally or by the state. </w:t>
      </w:r>
      <w:r w:rsidR="001F5F96" w:rsidRPr="00597421">
        <w:rPr>
          <w:rFonts w:ascii="Times New Roman" w:hAnsi="Times New Roman" w:cs="Times New Roman"/>
          <w:sz w:val="24"/>
          <w:szCs w:val="24"/>
        </w:rPr>
        <w:t xml:space="preserve"> Residents would be unhappy if they needed to drive to Montpelier</w:t>
      </w:r>
      <w:r w:rsidRPr="00597421">
        <w:rPr>
          <w:rFonts w:ascii="Times New Roman" w:hAnsi="Times New Roman" w:cs="Times New Roman"/>
          <w:sz w:val="24"/>
          <w:szCs w:val="24"/>
        </w:rPr>
        <w:t xml:space="preserve"> to grieve tax assessments</w:t>
      </w:r>
      <w:r w:rsidR="001F5F96" w:rsidRPr="00597421">
        <w:rPr>
          <w:rFonts w:ascii="Times New Roman" w:hAnsi="Times New Roman" w:cs="Times New Roman"/>
          <w:sz w:val="24"/>
          <w:szCs w:val="24"/>
        </w:rPr>
        <w:t xml:space="preserve">, and the question was raised whether grievances could remain local.  </w:t>
      </w:r>
    </w:p>
    <w:p w:rsidR="001F5F96" w:rsidRDefault="001F5F96" w:rsidP="001F5F96">
      <w:pPr>
        <w:spacing w:after="0"/>
        <w:ind w:left="1080"/>
        <w:rPr>
          <w:rFonts w:ascii="Times New Roman" w:hAnsi="Times New Roman" w:cs="Times New Roman"/>
          <w:sz w:val="24"/>
          <w:szCs w:val="24"/>
        </w:rPr>
      </w:pPr>
    </w:p>
    <w:p w:rsidR="001F5F96" w:rsidRDefault="001F5F96" w:rsidP="005A2388">
      <w:pPr>
        <w:spacing w:after="0"/>
        <w:ind w:left="720"/>
        <w:rPr>
          <w:rFonts w:ascii="Times New Roman" w:hAnsi="Times New Roman" w:cs="Times New Roman"/>
          <w:sz w:val="24"/>
          <w:szCs w:val="24"/>
        </w:rPr>
      </w:pPr>
      <w:r>
        <w:rPr>
          <w:rFonts w:ascii="Times New Roman" w:hAnsi="Times New Roman" w:cs="Times New Roman"/>
          <w:sz w:val="24"/>
          <w:szCs w:val="24"/>
        </w:rPr>
        <w:t xml:space="preserve">The Tax Department listed numerous issues that would need to be resolved </w:t>
      </w:r>
      <w:r w:rsidR="00C274EA">
        <w:rPr>
          <w:rFonts w:ascii="Times New Roman" w:hAnsi="Times New Roman" w:cs="Times New Roman"/>
          <w:sz w:val="24"/>
          <w:szCs w:val="24"/>
        </w:rPr>
        <w:t>prior</w:t>
      </w:r>
      <w:r w:rsidR="009078A1">
        <w:rPr>
          <w:rFonts w:ascii="Times New Roman" w:hAnsi="Times New Roman" w:cs="Times New Roman"/>
          <w:sz w:val="24"/>
          <w:szCs w:val="24"/>
        </w:rPr>
        <w:t xml:space="preserve"> to</w:t>
      </w:r>
      <w:r w:rsidR="00C274EA">
        <w:rPr>
          <w:rFonts w:ascii="Times New Roman" w:hAnsi="Times New Roman" w:cs="Times New Roman"/>
          <w:sz w:val="24"/>
          <w:szCs w:val="24"/>
        </w:rPr>
        <w:t xml:space="preserve"> the</w:t>
      </w:r>
      <w:r w:rsidR="009078A1">
        <w:rPr>
          <w:rFonts w:ascii="Times New Roman" w:hAnsi="Times New Roman" w:cs="Times New Roman"/>
          <w:sz w:val="24"/>
          <w:szCs w:val="24"/>
        </w:rPr>
        <w:t xml:space="preserve"> transition to statewide collection of the education property tax</w:t>
      </w:r>
      <w:r w:rsidR="00B23930">
        <w:rPr>
          <w:rFonts w:ascii="Times New Roman" w:hAnsi="Times New Roman" w:cs="Times New Roman"/>
          <w:sz w:val="24"/>
          <w:szCs w:val="24"/>
        </w:rPr>
        <w:t xml:space="preserve"> and a </w:t>
      </w:r>
      <w:proofErr w:type="spellStart"/>
      <w:r w:rsidR="00B23930">
        <w:rPr>
          <w:rFonts w:ascii="Times New Roman" w:hAnsi="Times New Roman" w:cs="Times New Roman"/>
          <w:sz w:val="24"/>
          <w:szCs w:val="24"/>
        </w:rPr>
        <w:t>stormwater</w:t>
      </w:r>
      <w:proofErr w:type="spellEnd"/>
      <w:r w:rsidR="00B23930">
        <w:rPr>
          <w:rFonts w:ascii="Times New Roman" w:hAnsi="Times New Roman" w:cs="Times New Roman"/>
          <w:sz w:val="24"/>
          <w:szCs w:val="24"/>
        </w:rPr>
        <w:t xml:space="preserve"> fee</w:t>
      </w:r>
      <w:r w:rsidR="009078A1">
        <w:rPr>
          <w:rFonts w:ascii="Times New Roman" w:hAnsi="Times New Roman" w:cs="Times New Roman"/>
          <w:sz w:val="24"/>
          <w:szCs w:val="24"/>
        </w:rPr>
        <w:t xml:space="preserve">.  </w:t>
      </w:r>
    </w:p>
    <w:p w:rsidR="005A2388" w:rsidRPr="005A2388" w:rsidRDefault="005A2388" w:rsidP="005A2388">
      <w:pPr>
        <w:pStyle w:val="ListParagraph"/>
        <w:numPr>
          <w:ilvl w:val="0"/>
          <w:numId w:val="26"/>
        </w:numPr>
        <w:spacing w:after="0"/>
        <w:rPr>
          <w:rFonts w:ascii="Times New Roman" w:hAnsi="Times New Roman" w:cs="Times New Roman"/>
          <w:sz w:val="24"/>
          <w:szCs w:val="24"/>
        </w:rPr>
      </w:pPr>
      <w:r w:rsidRPr="005A2388">
        <w:rPr>
          <w:rFonts w:ascii="Times New Roman" w:hAnsi="Times New Roman" w:cs="Times New Roman"/>
          <w:sz w:val="24"/>
          <w:szCs w:val="24"/>
        </w:rPr>
        <w:lastRenderedPageBreak/>
        <w:t xml:space="preserve">How quickly could the State stand up the system?  It was noted that the State would need to conduct an extensive </w:t>
      </w:r>
      <w:r w:rsidRPr="005A2388">
        <w:rPr>
          <w:rFonts w:ascii="Times New Roman" w:hAnsi="Times New Roman" w:cs="Times New Roman"/>
          <w:sz w:val="24"/>
          <w:szCs w:val="24"/>
        </w:rPr>
        <w:t>the request-for-proposal process to upgrade the information technology to s</w:t>
      </w:r>
      <w:r w:rsidRPr="005A2388">
        <w:rPr>
          <w:rFonts w:ascii="Times New Roman" w:hAnsi="Times New Roman" w:cs="Times New Roman"/>
          <w:sz w:val="24"/>
          <w:szCs w:val="24"/>
        </w:rPr>
        <w:t>upport a statewide property tax.</w:t>
      </w:r>
    </w:p>
    <w:p w:rsidR="005A2388" w:rsidRDefault="005A2388" w:rsidP="005A2388">
      <w:pPr>
        <w:pStyle w:val="ListParagraph"/>
        <w:numPr>
          <w:ilvl w:val="0"/>
          <w:numId w:val="26"/>
        </w:numPr>
        <w:spacing w:after="0"/>
        <w:rPr>
          <w:rFonts w:ascii="Times New Roman" w:hAnsi="Times New Roman" w:cs="Times New Roman"/>
          <w:sz w:val="24"/>
          <w:szCs w:val="24"/>
        </w:rPr>
      </w:pPr>
      <w:r w:rsidRPr="005A2388">
        <w:rPr>
          <w:rFonts w:ascii="Times New Roman" w:hAnsi="Times New Roman" w:cs="Times New Roman"/>
          <w:sz w:val="24"/>
          <w:szCs w:val="24"/>
        </w:rPr>
        <w:t>Would municipalities continue to collect the municipal property tax, or would the state collect it and send it back to municipalities?</w:t>
      </w:r>
    </w:p>
    <w:p w:rsidR="005A2388" w:rsidRPr="00E50DCE" w:rsidRDefault="005A2388" w:rsidP="00E50DCE">
      <w:pPr>
        <w:pStyle w:val="ListParagraph"/>
        <w:numPr>
          <w:ilvl w:val="0"/>
          <w:numId w:val="26"/>
        </w:numPr>
        <w:spacing w:after="0"/>
        <w:rPr>
          <w:rFonts w:ascii="Times New Roman" w:hAnsi="Times New Roman" w:cs="Times New Roman"/>
          <w:sz w:val="24"/>
          <w:szCs w:val="24"/>
        </w:rPr>
      </w:pPr>
      <w:r w:rsidRPr="00E50DCE">
        <w:rPr>
          <w:rFonts w:ascii="Times New Roman" w:hAnsi="Times New Roman" w:cs="Times New Roman"/>
          <w:sz w:val="24"/>
          <w:szCs w:val="24"/>
        </w:rPr>
        <w:t>How would</w:t>
      </w:r>
      <w:r w:rsidRPr="00E50DCE">
        <w:rPr>
          <w:rFonts w:ascii="Times New Roman" w:hAnsi="Times New Roman" w:cs="Times New Roman"/>
          <w:sz w:val="24"/>
          <w:szCs w:val="24"/>
        </w:rPr>
        <w:t xml:space="preserve"> property assessment</w:t>
      </w:r>
      <w:r w:rsidRPr="00E50DCE">
        <w:rPr>
          <w:rFonts w:ascii="Times New Roman" w:hAnsi="Times New Roman" w:cs="Times New Roman"/>
          <w:sz w:val="24"/>
          <w:szCs w:val="24"/>
        </w:rPr>
        <w:t xml:space="preserve">s </w:t>
      </w:r>
      <w:r w:rsidRPr="00E50DCE">
        <w:rPr>
          <w:rFonts w:ascii="Times New Roman" w:hAnsi="Times New Roman" w:cs="Times New Roman"/>
          <w:sz w:val="24"/>
          <w:szCs w:val="24"/>
        </w:rPr>
        <w:t xml:space="preserve">be </w:t>
      </w:r>
      <w:r w:rsidRPr="00E50DCE">
        <w:rPr>
          <w:rFonts w:ascii="Times New Roman" w:hAnsi="Times New Roman" w:cs="Times New Roman"/>
          <w:sz w:val="24"/>
          <w:szCs w:val="24"/>
        </w:rPr>
        <w:t>handled</w:t>
      </w:r>
      <w:r w:rsidRPr="00E50DCE">
        <w:rPr>
          <w:rFonts w:ascii="Times New Roman" w:hAnsi="Times New Roman" w:cs="Times New Roman"/>
          <w:sz w:val="24"/>
          <w:szCs w:val="24"/>
        </w:rPr>
        <w:t>?</w:t>
      </w:r>
      <w:r w:rsidR="00C274EA" w:rsidRPr="00E50DCE">
        <w:rPr>
          <w:rFonts w:ascii="Times New Roman" w:hAnsi="Times New Roman" w:cs="Times New Roman"/>
          <w:sz w:val="24"/>
          <w:szCs w:val="24"/>
        </w:rPr>
        <w:t xml:space="preserve">  Would assessments remain local?</w:t>
      </w:r>
      <w:r w:rsidR="00E8450E">
        <w:rPr>
          <w:rFonts w:ascii="Times New Roman" w:hAnsi="Times New Roman" w:cs="Times New Roman"/>
          <w:sz w:val="24"/>
          <w:szCs w:val="24"/>
        </w:rPr>
        <w:t xml:space="preserve"> </w:t>
      </w:r>
      <w:r w:rsidR="00E8450E" w:rsidRPr="00E50DCE">
        <w:rPr>
          <w:rFonts w:ascii="Times New Roman" w:hAnsi="Times New Roman" w:cs="Times New Roman"/>
          <w:sz w:val="24"/>
          <w:szCs w:val="24"/>
        </w:rPr>
        <w:t>Under the current system, property owners have the right to request an inspection of their property by the local civil board of authority.  The inspection right is a significant element of the existing appeals process.</w:t>
      </w:r>
      <w:r w:rsidR="00C274EA" w:rsidRPr="00E50DCE">
        <w:rPr>
          <w:rFonts w:ascii="Times New Roman" w:hAnsi="Times New Roman" w:cs="Times New Roman"/>
          <w:sz w:val="24"/>
          <w:szCs w:val="24"/>
        </w:rPr>
        <w:t xml:space="preserve"> </w:t>
      </w:r>
      <w:r w:rsidR="00E8450E">
        <w:rPr>
          <w:rFonts w:ascii="Times New Roman" w:hAnsi="Times New Roman" w:cs="Times New Roman"/>
          <w:sz w:val="24"/>
          <w:szCs w:val="24"/>
        </w:rPr>
        <w:t xml:space="preserve"> If assessments remain local, a process for communicating local appeals to the statewide billing and collection program would need to be established. </w:t>
      </w:r>
      <w:r w:rsidR="00C274EA" w:rsidRPr="00E50DCE">
        <w:rPr>
          <w:rFonts w:ascii="Times New Roman" w:hAnsi="Times New Roman" w:cs="Times New Roman"/>
          <w:sz w:val="24"/>
          <w:szCs w:val="24"/>
        </w:rPr>
        <w:t xml:space="preserve"> </w:t>
      </w:r>
      <w:r w:rsidR="00E8450E">
        <w:rPr>
          <w:rFonts w:ascii="Times New Roman" w:hAnsi="Times New Roman" w:cs="Times New Roman"/>
          <w:sz w:val="24"/>
          <w:szCs w:val="24"/>
        </w:rPr>
        <w:t>If assessments were handled by the state, a possible advantage</w:t>
      </w:r>
      <w:r w:rsidR="00E50DCE" w:rsidRPr="00E50DCE">
        <w:rPr>
          <w:rFonts w:ascii="Times New Roman" w:hAnsi="Times New Roman" w:cs="Times New Roman"/>
          <w:sz w:val="24"/>
          <w:szCs w:val="24"/>
        </w:rPr>
        <w:t xml:space="preserve"> would be increased consistency</w:t>
      </w:r>
      <w:r w:rsidR="00E50DCE">
        <w:rPr>
          <w:rFonts w:ascii="Times New Roman" w:hAnsi="Times New Roman" w:cs="Times New Roman"/>
          <w:sz w:val="24"/>
          <w:szCs w:val="24"/>
        </w:rPr>
        <w:t xml:space="preserve"> in property valuation</w:t>
      </w:r>
      <w:r w:rsidR="00E50DCE" w:rsidRPr="00E50DCE">
        <w:rPr>
          <w:rFonts w:ascii="Times New Roman" w:hAnsi="Times New Roman" w:cs="Times New Roman"/>
          <w:sz w:val="24"/>
          <w:szCs w:val="24"/>
        </w:rPr>
        <w:t>, particularly for high-value commercial properties.</w:t>
      </w:r>
    </w:p>
    <w:p w:rsidR="00C274EA" w:rsidRDefault="00C274EA" w:rsidP="005A2388">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Would town clerks continue to hold land records?  How would the shift impact revenue that is currently collected by town clerks?</w:t>
      </w:r>
    </w:p>
    <w:p w:rsidR="00C274EA" w:rsidRDefault="00C274EA" w:rsidP="005A2388">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Would overall costs related to tax collection go up or down? There are currently 300 to 500 FTEs in the municipal property tax system.  Overall administrative costs may rise unless municipalities reduce staff.</w:t>
      </w:r>
      <w:r w:rsidR="00E8450E">
        <w:rPr>
          <w:rFonts w:ascii="Times New Roman" w:hAnsi="Times New Roman" w:cs="Times New Roman"/>
          <w:sz w:val="24"/>
          <w:szCs w:val="24"/>
        </w:rPr>
        <w:t xml:space="preserve">  Statewide administrative efficiencies and reduced software licensing costs could </w:t>
      </w:r>
      <w:r w:rsidR="00C20728">
        <w:rPr>
          <w:rFonts w:ascii="Times New Roman" w:hAnsi="Times New Roman" w:cs="Times New Roman"/>
          <w:sz w:val="24"/>
          <w:szCs w:val="24"/>
        </w:rPr>
        <w:t>exert</w:t>
      </w:r>
      <w:r w:rsidR="00E8450E">
        <w:rPr>
          <w:rFonts w:ascii="Times New Roman" w:hAnsi="Times New Roman" w:cs="Times New Roman"/>
          <w:sz w:val="24"/>
          <w:szCs w:val="24"/>
        </w:rPr>
        <w:t xml:space="preserve"> downward pressure on costs.</w:t>
      </w:r>
    </w:p>
    <w:p w:rsidR="005A2388" w:rsidRPr="00C20728" w:rsidRDefault="005A2388" w:rsidP="00C20728">
      <w:pPr>
        <w:spacing w:after="0"/>
        <w:rPr>
          <w:rFonts w:ascii="Times New Roman" w:hAnsi="Times New Roman" w:cs="Times New Roman"/>
          <w:sz w:val="24"/>
          <w:szCs w:val="24"/>
        </w:rPr>
      </w:pPr>
    </w:p>
    <w:p w:rsidR="007B2167" w:rsidRDefault="00597421" w:rsidP="007B2167">
      <w:pPr>
        <w:spacing w:after="0"/>
        <w:ind w:left="720"/>
        <w:rPr>
          <w:rFonts w:ascii="Times New Roman" w:hAnsi="Times New Roman" w:cs="Times New Roman"/>
          <w:sz w:val="24"/>
          <w:szCs w:val="24"/>
        </w:rPr>
      </w:pPr>
      <w:r>
        <w:rPr>
          <w:rFonts w:ascii="Times New Roman" w:hAnsi="Times New Roman" w:cs="Times New Roman"/>
          <w:sz w:val="24"/>
          <w:szCs w:val="24"/>
        </w:rPr>
        <w:t>Following this presentation by the Tax Department, a comment was made</w:t>
      </w:r>
      <w:r w:rsidR="00B23930">
        <w:rPr>
          <w:rFonts w:ascii="Times New Roman" w:hAnsi="Times New Roman" w:cs="Times New Roman"/>
          <w:sz w:val="24"/>
          <w:szCs w:val="24"/>
        </w:rPr>
        <w:t xml:space="preserve"> that a </w:t>
      </w:r>
      <w:proofErr w:type="spellStart"/>
      <w:r w:rsidR="00B23930">
        <w:rPr>
          <w:rFonts w:ascii="Times New Roman" w:hAnsi="Times New Roman" w:cs="Times New Roman"/>
          <w:sz w:val="24"/>
          <w:szCs w:val="24"/>
        </w:rPr>
        <w:t>stormwater</w:t>
      </w:r>
      <w:proofErr w:type="spellEnd"/>
      <w:r w:rsidR="00B23930">
        <w:rPr>
          <w:rFonts w:ascii="Times New Roman" w:hAnsi="Times New Roman" w:cs="Times New Roman"/>
          <w:sz w:val="24"/>
          <w:szCs w:val="24"/>
        </w:rPr>
        <w:t xml:space="preserve"> fee is not a </w:t>
      </w:r>
      <w:r>
        <w:rPr>
          <w:rFonts w:ascii="Times New Roman" w:hAnsi="Times New Roman" w:cs="Times New Roman"/>
          <w:sz w:val="24"/>
          <w:szCs w:val="24"/>
        </w:rPr>
        <w:t>property tax, and</w:t>
      </w:r>
      <w:r w:rsidR="00CF2714">
        <w:rPr>
          <w:rFonts w:ascii="Times New Roman" w:hAnsi="Times New Roman" w:cs="Times New Roman"/>
          <w:sz w:val="24"/>
          <w:szCs w:val="24"/>
        </w:rPr>
        <w:t xml:space="preserve"> that it</w:t>
      </w:r>
      <w:r>
        <w:rPr>
          <w:rFonts w:ascii="Times New Roman" w:hAnsi="Times New Roman" w:cs="Times New Roman"/>
          <w:sz w:val="24"/>
          <w:szCs w:val="24"/>
        </w:rPr>
        <w:t xml:space="preserve"> should not be billed alongside the property tax.  </w:t>
      </w:r>
      <w:r>
        <w:rPr>
          <w:rFonts w:ascii="Times New Roman" w:hAnsi="Times New Roman" w:cs="Times New Roman"/>
          <w:sz w:val="24"/>
          <w:szCs w:val="24"/>
        </w:rPr>
        <w:t xml:space="preserve">It was also stated that municipalities do not like to be on the front lines collecting unpopular taxes and fees.  </w:t>
      </w:r>
      <w:r w:rsidRPr="00716436">
        <w:rPr>
          <w:rFonts w:ascii="Times New Roman" w:hAnsi="Times New Roman" w:cs="Times New Roman"/>
          <w:sz w:val="24"/>
          <w:szCs w:val="24"/>
        </w:rPr>
        <w:t xml:space="preserve">The view was put forward that a </w:t>
      </w:r>
      <w:proofErr w:type="spellStart"/>
      <w:r w:rsidRPr="00716436">
        <w:rPr>
          <w:rFonts w:ascii="Times New Roman" w:hAnsi="Times New Roman" w:cs="Times New Roman"/>
          <w:sz w:val="24"/>
          <w:szCs w:val="24"/>
        </w:rPr>
        <w:t>stormwater</w:t>
      </w:r>
      <w:proofErr w:type="spellEnd"/>
      <w:r w:rsidRPr="00716436">
        <w:rPr>
          <w:rFonts w:ascii="Times New Roman" w:hAnsi="Times New Roman" w:cs="Times New Roman"/>
          <w:sz w:val="24"/>
          <w:szCs w:val="24"/>
        </w:rPr>
        <w:t xml:space="preserve"> fee should be billed separately from any existing tax or utility bill.  </w:t>
      </w:r>
      <w:r w:rsidR="00716436" w:rsidRPr="00716436">
        <w:rPr>
          <w:rFonts w:ascii="Times New Roman" w:hAnsi="Times New Roman" w:cs="Times New Roman"/>
          <w:sz w:val="24"/>
          <w:szCs w:val="24"/>
        </w:rPr>
        <w:t>T</w:t>
      </w:r>
      <w:r w:rsidR="00716436" w:rsidRPr="00716436">
        <w:rPr>
          <w:rFonts w:ascii="Times New Roman" w:hAnsi="Times New Roman" w:cs="Times New Roman"/>
          <w:sz w:val="24"/>
          <w:szCs w:val="24"/>
        </w:rPr>
        <w:t>he Tax Department noted that compliance and collection rates will be much higher if attached to an existing billing system.</w:t>
      </w:r>
      <w:r w:rsidR="00716436" w:rsidRPr="00716436">
        <w:rPr>
          <w:rFonts w:ascii="Times New Roman" w:hAnsi="Times New Roman" w:cs="Times New Roman"/>
          <w:sz w:val="24"/>
          <w:szCs w:val="24"/>
        </w:rPr>
        <w:t xml:space="preserve"> </w:t>
      </w:r>
      <w:r w:rsidRPr="00716436">
        <w:rPr>
          <w:rFonts w:ascii="Times New Roman" w:hAnsi="Times New Roman" w:cs="Times New Roman"/>
          <w:sz w:val="24"/>
          <w:szCs w:val="24"/>
        </w:rPr>
        <w:t xml:space="preserve">It was also expressed that the same entity that collects the fee should make decisions about how to spend the fee, to increase accountability.  </w:t>
      </w:r>
    </w:p>
    <w:p w:rsidR="007B2167" w:rsidRDefault="007B2167" w:rsidP="007B2167">
      <w:pPr>
        <w:spacing w:after="0"/>
        <w:ind w:left="720"/>
        <w:rPr>
          <w:rFonts w:ascii="Times New Roman" w:hAnsi="Times New Roman" w:cs="Times New Roman"/>
          <w:sz w:val="24"/>
          <w:szCs w:val="24"/>
        </w:rPr>
      </w:pPr>
    </w:p>
    <w:p w:rsidR="007B2167" w:rsidRDefault="00716436" w:rsidP="007B2167">
      <w:pPr>
        <w:spacing w:after="0"/>
        <w:ind w:left="720"/>
        <w:rPr>
          <w:rFonts w:ascii="Times New Roman" w:hAnsi="Times New Roman" w:cs="Times New Roman"/>
          <w:sz w:val="24"/>
          <w:szCs w:val="24"/>
        </w:rPr>
      </w:pPr>
      <w:r w:rsidRPr="00716436">
        <w:rPr>
          <w:rFonts w:ascii="Times New Roman" w:hAnsi="Times New Roman" w:cs="Times New Roman"/>
          <w:sz w:val="24"/>
          <w:szCs w:val="24"/>
        </w:rPr>
        <w:t>Another view was that a</w:t>
      </w:r>
      <w:r w:rsidR="00597421" w:rsidRPr="00716436">
        <w:rPr>
          <w:rFonts w:ascii="Times New Roman" w:hAnsi="Times New Roman" w:cs="Times New Roman"/>
          <w:sz w:val="24"/>
          <w:szCs w:val="24"/>
        </w:rPr>
        <w:t xml:space="preserve"> system that is easy to administer may </w:t>
      </w:r>
      <w:r w:rsidR="00C20728">
        <w:rPr>
          <w:rFonts w:ascii="Times New Roman" w:hAnsi="Times New Roman" w:cs="Times New Roman"/>
          <w:sz w:val="24"/>
          <w:szCs w:val="24"/>
        </w:rPr>
        <w:t xml:space="preserve">or may not </w:t>
      </w:r>
      <w:r w:rsidR="00597421" w:rsidRPr="00716436">
        <w:rPr>
          <w:rFonts w:ascii="Times New Roman" w:hAnsi="Times New Roman" w:cs="Times New Roman"/>
          <w:sz w:val="24"/>
          <w:szCs w:val="24"/>
        </w:rPr>
        <w:t xml:space="preserve">have </w:t>
      </w:r>
      <w:r w:rsidR="00C20728">
        <w:rPr>
          <w:rFonts w:ascii="Times New Roman" w:hAnsi="Times New Roman" w:cs="Times New Roman"/>
          <w:sz w:val="24"/>
          <w:szCs w:val="24"/>
        </w:rPr>
        <w:t>a close</w:t>
      </w:r>
      <w:r w:rsidR="00597421" w:rsidRPr="00716436">
        <w:rPr>
          <w:rFonts w:ascii="Times New Roman" w:hAnsi="Times New Roman" w:cs="Times New Roman"/>
          <w:sz w:val="24"/>
          <w:szCs w:val="24"/>
        </w:rPr>
        <w:t xml:space="preserve"> nexus </w:t>
      </w:r>
      <w:r w:rsidR="00C20728">
        <w:rPr>
          <w:rFonts w:ascii="Times New Roman" w:hAnsi="Times New Roman" w:cs="Times New Roman"/>
          <w:sz w:val="24"/>
          <w:szCs w:val="24"/>
        </w:rPr>
        <w:t>to</w:t>
      </w:r>
      <w:r w:rsidR="00597421" w:rsidRPr="00716436">
        <w:rPr>
          <w:rFonts w:ascii="Times New Roman" w:hAnsi="Times New Roman" w:cs="Times New Roman"/>
          <w:sz w:val="24"/>
          <w:szCs w:val="24"/>
        </w:rPr>
        <w:t xml:space="preserve"> the problem</w:t>
      </w:r>
      <w:r w:rsidR="00C20728">
        <w:rPr>
          <w:rFonts w:ascii="Times New Roman" w:hAnsi="Times New Roman" w:cs="Times New Roman"/>
          <w:sz w:val="24"/>
          <w:szCs w:val="24"/>
        </w:rPr>
        <w:t xml:space="preserve"> being addressed</w:t>
      </w:r>
      <w:r>
        <w:rPr>
          <w:rFonts w:ascii="Times New Roman" w:hAnsi="Times New Roman" w:cs="Times New Roman"/>
          <w:sz w:val="24"/>
          <w:szCs w:val="24"/>
        </w:rPr>
        <w:t>, and that there may be tension between efficiency and nexus</w:t>
      </w:r>
      <w:r w:rsidRPr="00716436">
        <w:rPr>
          <w:rFonts w:ascii="Times New Roman" w:hAnsi="Times New Roman" w:cs="Times New Roman"/>
          <w:sz w:val="24"/>
          <w:szCs w:val="24"/>
        </w:rPr>
        <w:t xml:space="preserve">. </w:t>
      </w:r>
      <w:r>
        <w:rPr>
          <w:rFonts w:ascii="Times New Roman" w:hAnsi="Times New Roman" w:cs="Times New Roman"/>
          <w:sz w:val="24"/>
          <w:szCs w:val="24"/>
        </w:rPr>
        <w:t xml:space="preserve"> </w:t>
      </w:r>
      <w:r w:rsidR="007B2167">
        <w:rPr>
          <w:rFonts w:ascii="Times New Roman" w:hAnsi="Times New Roman" w:cs="Times New Roman"/>
          <w:sz w:val="24"/>
          <w:szCs w:val="24"/>
        </w:rPr>
        <w:t>For example, it was acknowledged that the p</w:t>
      </w:r>
      <w:r w:rsidR="007B2167" w:rsidRPr="007B2167">
        <w:rPr>
          <w:rFonts w:ascii="Times New Roman" w:hAnsi="Times New Roman" w:cs="Times New Roman"/>
          <w:sz w:val="24"/>
          <w:szCs w:val="24"/>
        </w:rPr>
        <w:t>roperty transfer tax</w:t>
      </w:r>
      <w:r w:rsidR="007B2167">
        <w:rPr>
          <w:rFonts w:ascii="Times New Roman" w:hAnsi="Times New Roman" w:cs="Times New Roman"/>
          <w:sz w:val="24"/>
          <w:szCs w:val="24"/>
        </w:rPr>
        <w:t xml:space="preserve"> surcharge, which provides revenues for the Clean Water Fund,</w:t>
      </w:r>
      <w:r w:rsidR="001D5FAA">
        <w:rPr>
          <w:rFonts w:ascii="Times New Roman" w:hAnsi="Times New Roman" w:cs="Times New Roman"/>
          <w:sz w:val="24"/>
          <w:szCs w:val="24"/>
        </w:rPr>
        <w:t xml:space="preserve"> i</w:t>
      </w:r>
      <w:r w:rsidR="007B2167" w:rsidRPr="007B2167">
        <w:rPr>
          <w:rFonts w:ascii="Times New Roman" w:hAnsi="Times New Roman" w:cs="Times New Roman"/>
          <w:sz w:val="24"/>
          <w:szCs w:val="24"/>
        </w:rPr>
        <w:t xml:space="preserve">s </w:t>
      </w:r>
      <w:r w:rsidR="007B2167">
        <w:rPr>
          <w:rFonts w:ascii="Times New Roman" w:hAnsi="Times New Roman" w:cs="Times New Roman"/>
          <w:sz w:val="24"/>
          <w:szCs w:val="24"/>
        </w:rPr>
        <w:t xml:space="preserve">administratively </w:t>
      </w:r>
      <w:r w:rsidR="007B2167" w:rsidRPr="007B2167">
        <w:rPr>
          <w:rFonts w:ascii="Times New Roman" w:hAnsi="Times New Roman" w:cs="Times New Roman"/>
          <w:sz w:val="24"/>
          <w:szCs w:val="24"/>
        </w:rPr>
        <w:t xml:space="preserve">efficient but </w:t>
      </w:r>
      <w:r w:rsidR="007B2167">
        <w:rPr>
          <w:rFonts w:ascii="Times New Roman" w:hAnsi="Times New Roman" w:cs="Times New Roman"/>
          <w:sz w:val="24"/>
          <w:szCs w:val="24"/>
        </w:rPr>
        <w:t xml:space="preserve">its </w:t>
      </w:r>
      <w:r w:rsidR="007B2167" w:rsidRPr="007B2167">
        <w:rPr>
          <w:rFonts w:ascii="Times New Roman" w:hAnsi="Times New Roman" w:cs="Times New Roman"/>
          <w:sz w:val="24"/>
          <w:szCs w:val="24"/>
        </w:rPr>
        <w:t xml:space="preserve">nexus to water quality </w:t>
      </w:r>
      <w:r w:rsidR="007B2167">
        <w:rPr>
          <w:rFonts w:ascii="Times New Roman" w:hAnsi="Times New Roman" w:cs="Times New Roman"/>
          <w:sz w:val="24"/>
          <w:szCs w:val="24"/>
        </w:rPr>
        <w:t>is</w:t>
      </w:r>
      <w:r w:rsidR="007B2167" w:rsidRPr="007B2167">
        <w:rPr>
          <w:rFonts w:ascii="Times New Roman" w:hAnsi="Times New Roman" w:cs="Times New Roman"/>
          <w:sz w:val="24"/>
          <w:szCs w:val="24"/>
        </w:rPr>
        <w:t xml:space="preserve"> low.</w:t>
      </w:r>
      <w:r w:rsidR="007B2167">
        <w:rPr>
          <w:rFonts w:ascii="Times New Roman" w:hAnsi="Times New Roman" w:cs="Times New Roman"/>
          <w:sz w:val="24"/>
          <w:szCs w:val="24"/>
        </w:rPr>
        <w:t xml:space="preserve">  One opinion expressed was that an</w:t>
      </w:r>
      <w:r w:rsidR="007B2167" w:rsidRPr="007B2167">
        <w:rPr>
          <w:rFonts w:ascii="Times New Roman" w:hAnsi="Times New Roman" w:cs="Times New Roman"/>
          <w:sz w:val="24"/>
          <w:szCs w:val="24"/>
        </w:rPr>
        <w:t xml:space="preserve"> impervious </w:t>
      </w:r>
      <w:r w:rsidR="007B2167">
        <w:rPr>
          <w:rFonts w:ascii="Times New Roman" w:hAnsi="Times New Roman" w:cs="Times New Roman"/>
          <w:sz w:val="24"/>
          <w:szCs w:val="24"/>
        </w:rPr>
        <w:t xml:space="preserve">surface fee has a closer nexus to water quality, but that it may be expensive to calculate. </w:t>
      </w:r>
    </w:p>
    <w:p w:rsidR="00BD6184" w:rsidRPr="001D5FAA" w:rsidRDefault="00BD6184" w:rsidP="001D5FAA">
      <w:pPr>
        <w:spacing w:after="0"/>
        <w:rPr>
          <w:rFonts w:ascii="Times New Roman" w:hAnsi="Times New Roman" w:cs="Times New Roman"/>
          <w:sz w:val="24"/>
          <w:szCs w:val="24"/>
        </w:rPr>
      </w:pPr>
    </w:p>
    <w:p w:rsidR="00BD6184" w:rsidRDefault="001D5FAA" w:rsidP="00716436">
      <w:pPr>
        <w:pStyle w:val="ListParagraph"/>
        <w:spacing w:after="0"/>
        <w:rPr>
          <w:rFonts w:ascii="Times New Roman" w:hAnsi="Times New Roman" w:cs="Times New Roman"/>
          <w:sz w:val="24"/>
          <w:szCs w:val="24"/>
        </w:rPr>
      </w:pPr>
      <w:r>
        <w:rPr>
          <w:rFonts w:ascii="Times New Roman" w:hAnsi="Times New Roman" w:cs="Times New Roman"/>
          <w:sz w:val="24"/>
          <w:szCs w:val="24"/>
        </w:rPr>
        <w:t>I</w:t>
      </w:r>
      <w:r w:rsidR="00716436">
        <w:rPr>
          <w:rFonts w:ascii="Times New Roman" w:hAnsi="Times New Roman" w:cs="Times New Roman"/>
          <w:sz w:val="24"/>
          <w:szCs w:val="24"/>
        </w:rPr>
        <w:t>t was asked if one set of fees, such a</w:t>
      </w:r>
      <w:r w:rsidR="00C20728">
        <w:rPr>
          <w:rFonts w:ascii="Times New Roman" w:hAnsi="Times New Roman" w:cs="Times New Roman"/>
          <w:sz w:val="24"/>
          <w:szCs w:val="24"/>
        </w:rPr>
        <w:t>s parcel fees, could be used to fund</w:t>
      </w:r>
      <w:r w:rsidR="00716436">
        <w:rPr>
          <w:rFonts w:ascii="Times New Roman" w:hAnsi="Times New Roman" w:cs="Times New Roman"/>
          <w:sz w:val="24"/>
          <w:szCs w:val="24"/>
        </w:rPr>
        <w:t xml:space="preserve"> one set of actions, while another set of fees, such as impervious surface fees, could be used </w:t>
      </w:r>
      <w:r w:rsidR="00C20728">
        <w:rPr>
          <w:rFonts w:ascii="Times New Roman" w:hAnsi="Times New Roman" w:cs="Times New Roman"/>
          <w:sz w:val="24"/>
          <w:szCs w:val="24"/>
        </w:rPr>
        <w:t>to fund</w:t>
      </w:r>
      <w:r w:rsidR="00716436">
        <w:rPr>
          <w:rFonts w:ascii="Times New Roman" w:hAnsi="Times New Roman" w:cs="Times New Roman"/>
          <w:sz w:val="24"/>
          <w:szCs w:val="24"/>
        </w:rPr>
        <w:t xml:space="preserve"> another set of actions.  It was suggested that it might be worthwhile to look at the purpose of the spending to decide which revenue source</w:t>
      </w:r>
      <w:r w:rsidR="00C20728">
        <w:rPr>
          <w:rFonts w:ascii="Times New Roman" w:hAnsi="Times New Roman" w:cs="Times New Roman"/>
          <w:sz w:val="24"/>
          <w:szCs w:val="24"/>
        </w:rPr>
        <w:t xml:space="preserve"> for that spending</w:t>
      </w:r>
      <w:r w:rsidR="00716436">
        <w:rPr>
          <w:rFonts w:ascii="Times New Roman" w:hAnsi="Times New Roman" w:cs="Times New Roman"/>
          <w:sz w:val="24"/>
          <w:szCs w:val="24"/>
        </w:rPr>
        <w:t xml:space="preserve"> is most appropriate.</w:t>
      </w:r>
      <w:r w:rsidR="00C20728">
        <w:rPr>
          <w:rFonts w:ascii="Times New Roman" w:hAnsi="Times New Roman" w:cs="Times New Roman"/>
          <w:sz w:val="24"/>
          <w:szCs w:val="24"/>
        </w:rPr>
        <w:t xml:space="preserve"> </w:t>
      </w:r>
      <w:r>
        <w:rPr>
          <w:rFonts w:ascii="Times New Roman" w:hAnsi="Times New Roman" w:cs="Times New Roman"/>
          <w:sz w:val="24"/>
          <w:szCs w:val="24"/>
        </w:rPr>
        <w:t>Nexus may vary depending on the type of fee.</w:t>
      </w:r>
      <w:r w:rsidR="00C20728">
        <w:rPr>
          <w:rFonts w:ascii="Times New Roman" w:hAnsi="Times New Roman" w:cs="Times New Roman"/>
          <w:sz w:val="24"/>
          <w:szCs w:val="24"/>
        </w:rPr>
        <w:t xml:space="preserve"> </w:t>
      </w:r>
      <w:r w:rsidR="00BD6184">
        <w:rPr>
          <w:rFonts w:ascii="Times New Roman" w:hAnsi="Times New Roman" w:cs="Times New Roman"/>
          <w:sz w:val="24"/>
          <w:szCs w:val="24"/>
        </w:rPr>
        <w:t xml:space="preserve"> </w:t>
      </w:r>
    </w:p>
    <w:p w:rsidR="00BD6184" w:rsidRDefault="00BD6184" w:rsidP="00716436">
      <w:pPr>
        <w:pStyle w:val="ListParagraph"/>
        <w:spacing w:after="0"/>
        <w:rPr>
          <w:rFonts w:ascii="Times New Roman" w:hAnsi="Times New Roman" w:cs="Times New Roman"/>
          <w:sz w:val="24"/>
          <w:szCs w:val="24"/>
        </w:rPr>
      </w:pPr>
    </w:p>
    <w:p w:rsidR="002E5DF1" w:rsidRDefault="001D5FAA" w:rsidP="00BD618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In sum, it was agreed that Vermonters will want a funding system that is rational (nexus), fair (enforceable) and efficient (low administrative costs).  </w:t>
      </w:r>
      <w:r w:rsidR="00C20728" w:rsidRPr="00BD6184">
        <w:rPr>
          <w:rFonts w:ascii="Times New Roman" w:hAnsi="Times New Roman" w:cs="Times New Roman"/>
          <w:sz w:val="24"/>
          <w:szCs w:val="24"/>
        </w:rPr>
        <w:t xml:space="preserve">To be fair, it was </w:t>
      </w:r>
      <w:r w:rsidR="00BD6184">
        <w:rPr>
          <w:rFonts w:ascii="Times New Roman" w:hAnsi="Times New Roman" w:cs="Times New Roman"/>
          <w:sz w:val="24"/>
          <w:szCs w:val="24"/>
        </w:rPr>
        <w:t>noted</w:t>
      </w:r>
      <w:r w:rsidR="00C20728" w:rsidRPr="00BD6184">
        <w:rPr>
          <w:rFonts w:ascii="Times New Roman" w:hAnsi="Times New Roman" w:cs="Times New Roman"/>
          <w:sz w:val="24"/>
          <w:szCs w:val="24"/>
        </w:rPr>
        <w:t xml:space="preserve"> that the collection system must be enforceable.  This led to a discussion of how to achieve high </w:t>
      </w:r>
      <w:r w:rsidR="00C20728" w:rsidRPr="00BD6184">
        <w:rPr>
          <w:rFonts w:ascii="Times New Roman" w:hAnsi="Times New Roman" w:cs="Times New Roman"/>
          <w:sz w:val="24"/>
          <w:szCs w:val="24"/>
        </w:rPr>
        <w:lastRenderedPageBreak/>
        <w:t xml:space="preserve">compliance rates.  It was suggested that liens could be placed on delinquent property owners, to which it was noted that </w:t>
      </w:r>
      <w:r w:rsidR="00C20728" w:rsidRPr="00BD6184">
        <w:rPr>
          <w:rFonts w:ascii="Times New Roman" w:hAnsi="Times New Roman" w:cs="Times New Roman"/>
          <w:sz w:val="24"/>
          <w:szCs w:val="24"/>
        </w:rPr>
        <w:t xml:space="preserve">very complicated if two different entities had authority to </w:t>
      </w:r>
      <w:r w:rsidR="00C20728" w:rsidRPr="00BD6184">
        <w:rPr>
          <w:rFonts w:ascii="Times New Roman" w:hAnsi="Times New Roman" w:cs="Times New Roman"/>
          <w:sz w:val="24"/>
          <w:szCs w:val="24"/>
        </w:rPr>
        <w:t>place</w:t>
      </w:r>
      <w:r w:rsidR="00C20728" w:rsidRPr="00BD6184">
        <w:rPr>
          <w:rFonts w:ascii="Times New Roman" w:hAnsi="Times New Roman" w:cs="Times New Roman"/>
          <w:sz w:val="24"/>
          <w:szCs w:val="24"/>
        </w:rPr>
        <w:t xml:space="preserve"> lien</w:t>
      </w:r>
      <w:r w:rsidR="00C20728" w:rsidRPr="00BD6184">
        <w:rPr>
          <w:rFonts w:ascii="Times New Roman" w:hAnsi="Times New Roman" w:cs="Times New Roman"/>
          <w:sz w:val="24"/>
          <w:szCs w:val="24"/>
        </w:rPr>
        <w:t>s</w:t>
      </w:r>
      <w:r w:rsidR="00C20728" w:rsidRPr="00BD6184">
        <w:rPr>
          <w:rFonts w:ascii="Times New Roman" w:hAnsi="Times New Roman" w:cs="Times New Roman"/>
          <w:sz w:val="24"/>
          <w:szCs w:val="24"/>
        </w:rPr>
        <w:t xml:space="preserve"> and </w:t>
      </w:r>
      <w:r w:rsidR="00C20728" w:rsidRPr="00BD6184">
        <w:rPr>
          <w:rFonts w:ascii="Times New Roman" w:hAnsi="Times New Roman" w:cs="Times New Roman"/>
          <w:sz w:val="24"/>
          <w:szCs w:val="24"/>
        </w:rPr>
        <w:t xml:space="preserve">conduct </w:t>
      </w:r>
      <w:r w:rsidR="00C20728" w:rsidRPr="00BD6184">
        <w:rPr>
          <w:rFonts w:ascii="Times New Roman" w:hAnsi="Times New Roman" w:cs="Times New Roman"/>
          <w:sz w:val="24"/>
          <w:szCs w:val="24"/>
        </w:rPr>
        <w:t>fee sales.</w:t>
      </w:r>
    </w:p>
    <w:p w:rsidR="00A47288" w:rsidRDefault="00A47288" w:rsidP="00A47288">
      <w:pPr>
        <w:spacing w:after="0"/>
        <w:rPr>
          <w:rFonts w:ascii="Times New Roman" w:hAnsi="Times New Roman" w:cs="Times New Roman"/>
          <w:sz w:val="24"/>
          <w:szCs w:val="24"/>
        </w:rPr>
      </w:pPr>
    </w:p>
    <w:p w:rsidR="003324D1" w:rsidRDefault="00856182" w:rsidP="003324D1">
      <w:pPr>
        <w:pStyle w:val="ListParagraph"/>
        <w:numPr>
          <w:ilvl w:val="1"/>
          <w:numId w:val="25"/>
        </w:numPr>
        <w:spacing w:after="0"/>
        <w:rPr>
          <w:rFonts w:ascii="Times New Roman" w:hAnsi="Times New Roman" w:cs="Times New Roman"/>
          <w:sz w:val="24"/>
          <w:szCs w:val="24"/>
        </w:rPr>
      </w:pPr>
      <w:r w:rsidRPr="00CF2714">
        <w:rPr>
          <w:rFonts w:ascii="Times New Roman" w:hAnsi="Times New Roman" w:cs="Times New Roman"/>
          <w:sz w:val="24"/>
          <w:szCs w:val="24"/>
          <w:u w:val="single"/>
        </w:rPr>
        <w:t>Parallel Collection Systems</w:t>
      </w:r>
      <w:r w:rsidR="00BD6184" w:rsidRPr="00CF2714">
        <w:rPr>
          <w:rFonts w:ascii="Times New Roman" w:hAnsi="Times New Roman" w:cs="Times New Roman"/>
          <w:sz w:val="24"/>
          <w:szCs w:val="24"/>
          <w:u w:val="single"/>
        </w:rPr>
        <w:t xml:space="preserve">: </w:t>
      </w:r>
      <w:r w:rsidR="00BD6184" w:rsidRPr="00CF2714">
        <w:rPr>
          <w:rFonts w:ascii="Times New Roman" w:hAnsi="Times New Roman" w:cs="Times New Roman"/>
          <w:sz w:val="24"/>
          <w:szCs w:val="24"/>
          <w:u w:val="single"/>
        </w:rPr>
        <w:t xml:space="preserve">Statewide collection of </w:t>
      </w:r>
      <w:proofErr w:type="spellStart"/>
      <w:r w:rsidR="00BD6184" w:rsidRPr="00CF2714">
        <w:rPr>
          <w:rFonts w:ascii="Times New Roman" w:hAnsi="Times New Roman" w:cs="Times New Roman"/>
          <w:sz w:val="24"/>
          <w:szCs w:val="24"/>
          <w:u w:val="single"/>
        </w:rPr>
        <w:t>stormwater</w:t>
      </w:r>
      <w:proofErr w:type="spellEnd"/>
      <w:r w:rsidR="00BD6184" w:rsidRPr="00CF2714">
        <w:rPr>
          <w:rFonts w:ascii="Times New Roman" w:hAnsi="Times New Roman" w:cs="Times New Roman"/>
          <w:sz w:val="24"/>
          <w:szCs w:val="24"/>
          <w:u w:val="single"/>
        </w:rPr>
        <w:t xml:space="preserve"> fee and municipal collectio</w:t>
      </w:r>
      <w:r w:rsidR="001D5FAA" w:rsidRPr="00CF2714">
        <w:rPr>
          <w:rFonts w:ascii="Times New Roman" w:hAnsi="Times New Roman" w:cs="Times New Roman"/>
          <w:sz w:val="24"/>
          <w:szCs w:val="24"/>
          <w:u w:val="single"/>
        </w:rPr>
        <w:t>n of the education property tax</w:t>
      </w:r>
      <w:r w:rsidR="001D5FAA" w:rsidRPr="00CF2714">
        <w:rPr>
          <w:rFonts w:ascii="Times New Roman" w:hAnsi="Times New Roman" w:cs="Times New Roman"/>
          <w:sz w:val="24"/>
          <w:szCs w:val="24"/>
        </w:rPr>
        <w:t xml:space="preserve">.  The Working Group recapped some of the discussion from July 14.  </w:t>
      </w:r>
      <w:r w:rsidR="00BD6184" w:rsidRPr="00CF2714">
        <w:rPr>
          <w:rFonts w:ascii="Times New Roman" w:hAnsi="Times New Roman" w:cs="Times New Roman"/>
          <w:sz w:val="24"/>
          <w:szCs w:val="24"/>
        </w:rPr>
        <w:t xml:space="preserve"> It was noted that setting up a statewide system to collect a </w:t>
      </w:r>
      <w:proofErr w:type="spellStart"/>
      <w:r w:rsidR="00BD6184" w:rsidRPr="00CF2714">
        <w:rPr>
          <w:rFonts w:ascii="Times New Roman" w:hAnsi="Times New Roman" w:cs="Times New Roman"/>
          <w:sz w:val="24"/>
          <w:szCs w:val="24"/>
        </w:rPr>
        <w:t>stormwater</w:t>
      </w:r>
      <w:proofErr w:type="spellEnd"/>
      <w:r w:rsidR="00BD6184" w:rsidRPr="00CF2714">
        <w:rPr>
          <w:rFonts w:ascii="Times New Roman" w:hAnsi="Times New Roman" w:cs="Times New Roman"/>
          <w:sz w:val="24"/>
          <w:szCs w:val="24"/>
        </w:rPr>
        <w:t xml:space="preserve"> fee, while maintaining local collection of the education property tax, would be very expensive.  At the meeting o</w:t>
      </w:r>
      <w:r w:rsidR="001D5FAA" w:rsidRPr="00CF2714">
        <w:rPr>
          <w:rFonts w:ascii="Times New Roman" w:hAnsi="Times New Roman" w:cs="Times New Roman"/>
          <w:sz w:val="24"/>
          <w:szCs w:val="24"/>
        </w:rPr>
        <w:t>n July 14</w:t>
      </w:r>
      <w:r w:rsidR="00BD6184" w:rsidRPr="00CF2714">
        <w:rPr>
          <w:rFonts w:ascii="Times New Roman" w:hAnsi="Times New Roman" w:cs="Times New Roman"/>
          <w:sz w:val="24"/>
          <w:szCs w:val="24"/>
        </w:rPr>
        <w:t>, the Tax Department estimated that</w:t>
      </w:r>
      <w:r w:rsidR="00CF2714" w:rsidRPr="00CF2714">
        <w:rPr>
          <w:rFonts w:ascii="Times New Roman" w:hAnsi="Times New Roman" w:cs="Times New Roman"/>
          <w:sz w:val="24"/>
          <w:szCs w:val="24"/>
        </w:rPr>
        <w:t xml:space="preserve"> it would need to hire</w:t>
      </w:r>
      <w:r w:rsidR="00BD6184" w:rsidRPr="00CF2714">
        <w:rPr>
          <w:rFonts w:ascii="Times New Roman" w:hAnsi="Times New Roman" w:cs="Times New Roman"/>
          <w:sz w:val="24"/>
          <w:szCs w:val="24"/>
        </w:rPr>
        <w:t xml:space="preserve"> up to 25 FTEs to collect a</w:t>
      </w:r>
      <w:r w:rsidR="003324D1" w:rsidRPr="00CF2714">
        <w:rPr>
          <w:rFonts w:ascii="Times New Roman" w:hAnsi="Times New Roman" w:cs="Times New Roman"/>
          <w:sz w:val="24"/>
          <w:szCs w:val="24"/>
        </w:rPr>
        <w:t xml:space="preserve">nd implement a </w:t>
      </w:r>
      <w:r w:rsidR="00CF2714" w:rsidRPr="00CF2714">
        <w:rPr>
          <w:rFonts w:ascii="Times New Roman" w:hAnsi="Times New Roman" w:cs="Times New Roman"/>
          <w:sz w:val="24"/>
          <w:szCs w:val="24"/>
        </w:rPr>
        <w:t xml:space="preserve">statewide </w:t>
      </w:r>
      <w:proofErr w:type="spellStart"/>
      <w:r w:rsidR="003324D1" w:rsidRPr="00CF2714">
        <w:rPr>
          <w:rFonts w:ascii="Times New Roman" w:hAnsi="Times New Roman" w:cs="Times New Roman"/>
          <w:sz w:val="24"/>
          <w:szCs w:val="24"/>
        </w:rPr>
        <w:t>stormwater</w:t>
      </w:r>
      <w:proofErr w:type="spellEnd"/>
      <w:r w:rsidR="003324D1" w:rsidRPr="00CF2714">
        <w:rPr>
          <w:rFonts w:ascii="Times New Roman" w:hAnsi="Times New Roman" w:cs="Times New Roman"/>
          <w:sz w:val="24"/>
          <w:szCs w:val="24"/>
        </w:rPr>
        <w:t xml:space="preserve"> fee. T</w:t>
      </w:r>
      <w:r w:rsidR="003324D1" w:rsidRPr="00CF2714">
        <w:rPr>
          <w:rFonts w:ascii="Times New Roman" w:hAnsi="Times New Roman" w:cs="Times New Roman"/>
          <w:sz w:val="24"/>
          <w:szCs w:val="24"/>
        </w:rPr>
        <w:t xml:space="preserve">he Vermont Tax Department currently spends roughly $17.7 million to collect $1.67 billion in </w:t>
      </w:r>
      <w:r w:rsidR="00CF2714" w:rsidRPr="00CF2714">
        <w:rPr>
          <w:rFonts w:ascii="Times New Roman" w:hAnsi="Times New Roman" w:cs="Times New Roman"/>
          <w:sz w:val="24"/>
          <w:szCs w:val="24"/>
        </w:rPr>
        <w:t xml:space="preserve">income tax </w:t>
      </w:r>
      <w:r w:rsidR="003324D1" w:rsidRPr="00CF2714">
        <w:rPr>
          <w:rFonts w:ascii="Times New Roman" w:hAnsi="Times New Roman" w:cs="Times New Roman"/>
          <w:sz w:val="24"/>
          <w:szCs w:val="24"/>
        </w:rPr>
        <w:t>revenues.  To implement statewide collection of a parcel or impervious surface fee, the Vermont Tax Department would need to spend</w:t>
      </w:r>
      <w:r w:rsidR="00CF2714" w:rsidRPr="00CF2714">
        <w:rPr>
          <w:rFonts w:ascii="Times New Roman" w:hAnsi="Times New Roman" w:cs="Times New Roman"/>
          <w:sz w:val="24"/>
          <w:szCs w:val="24"/>
        </w:rPr>
        <w:t>, in addition to up-front expenses,</w:t>
      </w:r>
      <w:r w:rsidR="003324D1" w:rsidRPr="00CF2714">
        <w:rPr>
          <w:rFonts w:ascii="Times New Roman" w:hAnsi="Times New Roman" w:cs="Times New Roman"/>
          <w:sz w:val="24"/>
          <w:szCs w:val="24"/>
        </w:rPr>
        <w:t xml:space="preserve"> roughly $4 million to collect $18 million</w:t>
      </w:r>
      <w:r w:rsidR="00CF2714">
        <w:rPr>
          <w:rFonts w:ascii="Times New Roman" w:hAnsi="Times New Roman" w:cs="Times New Roman"/>
          <w:sz w:val="24"/>
          <w:szCs w:val="24"/>
        </w:rPr>
        <w:t>.</w:t>
      </w:r>
    </w:p>
    <w:p w:rsidR="00CF2714" w:rsidRPr="00CF2714" w:rsidRDefault="00CF2714" w:rsidP="00CF2714">
      <w:pPr>
        <w:pStyle w:val="ListParagraph"/>
        <w:spacing w:after="0"/>
        <w:ind w:left="810"/>
        <w:rPr>
          <w:rFonts w:ascii="Times New Roman" w:hAnsi="Times New Roman" w:cs="Times New Roman"/>
          <w:sz w:val="24"/>
          <w:szCs w:val="24"/>
        </w:rPr>
      </w:pPr>
    </w:p>
    <w:p w:rsidR="003324D1" w:rsidRPr="003324D1" w:rsidRDefault="003324D1" w:rsidP="003324D1">
      <w:pPr>
        <w:spacing w:after="0"/>
        <w:ind w:left="720"/>
        <w:rPr>
          <w:rFonts w:ascii="Times New Roman" w:hAnsi="Times New Roman" w:cs="Times New Roman"/>
          <w:sz w:val="24"/>
          <w:szCs w:val="24"/>
        </w:rPr>
      </w:pPr>
      <w:r>
        <w:rPr>
          <w:rFonts w:ascii="Times New Roman" w:hAnsi="Times New Roman" w:cs="Times New Roman"/>
          <w:sz w:val="24"/>
          <w:szCs w:val="24"/>
        </w:rPr>
        <w:t>Given the</w:t>
      </w:r>
      <w:r w:rsidR="001D5FAA">
        <w:rPr>
          <w:rFonts w:ascii="Times New Roman" w:hAnsi="Times New Roman" w:cs="Times New Roman"/>
          <w:sz w:val="24"/>
          <w:szCs w:val="24"/>
        </w:rPr>
        <w:t xml:space="preserve"> administrative</w:t>
      </w:r>
      <w:r>
        <w:rPr>
          <w:rFonts w:ascii="Times New Roman" w:hAnsi="Times New Roman" w:cs="Times New Roman"/>
          <w:sz w:val="24"/>
          <w:szCs w:val="24"/>
        </w:rPr>
        <w:t xml:space="preserve"> inefficiency of standing up a separate statewide system to collect </w:t>
      </w:r>
      <w:proofErr w:type="spellStart"/>
      <w:r>
        <w:rPr>
          <w:rFonts w:ascii="Times New Roman" w:hAnsi="Times New Roman" w:cs="Times New Roman"/>
          <w:sz w:val="24"/>
          <w:szCs w:val="24"/>
        </w:rPr>
        <w:t>storm</w:t>
      </w:r>
      <w:r w:rsidR="00856182">
        <w:rPr>
          <w:rFonts w:ascii="Times New Roman" w:hAnsi="Times New Roman" w:cs="Times New Roman"/>
          <w:sz w:val="24"/>
          <w:szCs w:val="24"/>
        </w:rPr>
        <w:t>water</w:t>
      </w:r>
      <w:proofErr w:type="spellEnd"/>
      <w:r w:rsidR="00856182">
        <w:rPr>
          <w:rFonts w:ascii="Times New Roman" w:hAnsi="Times New Roman" w:cs="Times New Roman"/>
          <w:sz w:val="24"/>
          <w:szCs w:val="24"/>
        </w:rPr>
        <w:t xml:space="preserve"> fees, it was suggested this option should be dropped from the list of considerations.  </w:t>
      </w:r>
    </w:p>
    <w:p w:rsidR="00BD6184" w:rsidRDefault="00BD6184" w:rsidP="00BD6184">
      <w:pPr>
        <w:spacing w:after="0"/>
        <w:rPr>
          <w:rFonts w:ascii="Times New Roman" w:hAnsi="Times New Roman" w:cs="Times New Roman"/>
          <w:sz w:val="24"/>
          <w:szCs w:val="24"/>
        </w:rPr>
      </w:pPr>
    </w:p>
    <w:p w:rsidR="00842E54" w:rsidRPr="00842E54" w:rsidRDefault="00856182" w:rsidP="00842E54">
      <w:pPr>
        <w:pStyle w:val="ListParagraph"/>
        <w:numPr>
          <w:ilvl w:val="1"/>
          <w:numId w:val="25"/>
        </w:numPr>
        <w:spacing w:after="0"/>
        <w:rPr>
          <w:rFonts w:ascii="Times New Roman" w:hAnsi="Times New Roman" w:cs="Times New Roman"/>
          <w:sz w:val="24"/>
          <w:szCs w:val="24"/>
          <w:u w:val="single"/>
        </w:rPr>
      </w:pPr>
      <w:r w:rsidRPr="00842E54">
        <w:rPr>
          <w:rFonts w:ascii="Times New Roman" w:hAnsi="Times New Roman" w:cs="Times New Roman"/>
          <w:sz w:val="24"/>
          <w:szCs w:val="24"/>
          <w:u w:val="single"/>
        </w:rPr>
        <w:t>M</w:t>
      </w:r>
      <w:r w:rsidRPr="00842E54">
        <w:rPr>
          <w:rFonts w:ascii="Times New Roman" w:hAnsi="Times New Roman" w:cs="Times New Roman"/>
          <w:sz w:val="24"/>
          <w:szCs w:val="24"/>
          <w:u w:val="single"/>
        </w:rPr>
        <w:t xml:space="preserve">unicipal collection of both the education property tax and </w:t>
      </w:r>
      <w:proofErr w:type="spellStart"/>
      <w:r w:rsidRPr="00842E54">
        <w:rPr>
          <w:rFonts w:ascii="Times New Roman" w:hAnsi="Times New Roman" w:cs="Times New Roman"/>
          <w:sz w:val="24"/>
          <w:szCs w:val="24"/>
          <w:u w:val="single"/>
        </w:rPr>
        <w:t>stormwater</w:t>
      </w:r>
      <w:proofErr w:type="spellEnd"/>
      <w:r w:rsidRPr="00842E54">
        <w:rPr>
          <w:rFonts w:ascii="Times New Roman" w:hAnsi="Times New Roman" w:cs="Times New Roman"/>
          <w:sz w:val="24"/>
          <w:szCs w:val="24"/>
          <w:u w:val="single"/>
        </w:rPr>
        <w:t xml:space="preserve"> fee</w:t>
      </w:r>
      <w:r w:rsidRPr="00842E54">
        <w:rPr>
          <w:rFonts w:ascii="Times New Roman" w:hAnsi="Times New Roman" w:cs="Times New Roman"/>
          <w:sz w:val="24"/>
          <w:szCs w:val="24"/>
        </w:rPr>
        <w:t xml:space="preserve">.  </w:t>
      </w:r>
      <w:r w:rsidR="001D5FAA" w:rsidRPr="00842E54">
        <w:rPr>
          <w:rFonts w:ascii="Times New Roman" w:hAnsi="Times New Roman" w:cs="Times New Roman"/>
          <w:sz w:val="24"/>
          <w:szCs w:val="24"/>
        </w:rPr>
        <w:t xml:space="preserve">The Working Group briefly discussed municipal collection of a </w:t>
      </w:r>
      <w:proofErr w:type="spellStart"/>
      <w:r w:rsidR="001D5FAA" w:rsidRPr="00842E54">
        <w:rPr>
          <w:rFonts w:ascii="Times New Roman" w:hAnsi="Times New Roman" w:cs="Times New Roman"/>
          <w:sz w:val="24"/>
          <w:szCs w:val="24"/>
        </w:rPr>
        <w:t>stormwater</w:t>
      </w:r>
      <w:proofErr w:type="spellEnd"/>
      <w:r w:rsidR="001D5FAA" w:rsidRPr="00842E54">
        <w:rPr>
          <w:rFonts w:ascii="Times New Roman" w:hAnsi="Times New Roman" w:cs="Times New Roman"/>
          <w:sz w:val="24"/>
          <w:szCs w:val="24"/>
        </w:rPr>
        <w:t xml:space="preserve"> fee.  It was suggested that the state could provide municipalities with impervious parcel data.  </w:t>
      </w:r>
    </w:p>
    <w:p w:rsidR="00842E54" w:rsidRPr="00842E54" w:rsidRDefault="00842E54" w:rsidP="00842E54">
      <w:pPr>
        <w:spacing w:after="0"/>
        <w:ind w:left="450"/>
        <w:rPr>
          <w:rFonts w:ascii="Times New Roman" w:hAnsi="Times New Roman" w:cs="Times New Roman"/>
          <w:sz w:val="24"/>
          <w:szCs w:val="24"/>
          <w:u w:val="single"/>
        </w:rPr>
      </w:pPr>
    </w:p>
    <w:p w:rsidR="00842E54" w:rsidRDefault="001D5FAA" w:rsidP="00842E54">
      <w:pPr>
        <w:spacing w:after="0"/>
        <w:ind w:left="720"/>
        <w:rPr>
          <w:rFonts w:ascii="Times New Roman" w:hAnsi="Times New Roman" w:cs="Times New Roman"/>
          <w:sz w:val="24"/>
          <w:szCs w:val="24"/>
        </w:rPr>
      </w:pPr>
      <w:r w:rsidRPr="00842E54">
        <w:rPr>
          <w:rFonts w:ascii="Times New Roman" w:hAnsi="Times New Roman" w:cs="Times New Roman"/>
          <w:sz w:val="24"/>
          <w:szCs w:val="24"/>
        </w:rPr>
        <w:t xml:space="preserve">This led to a discussion of parcel fees versus impervious surface fees.  </w:t>
      </w:r>
      <w:r w:rsidR="00842E54">
        <w:rPr>
          <w:rFonts w:ascii="Times New Roman" w:hAnsi="Times New Roman" w:cs="Times New Roman"/>
          <w:sz w:val="24"/>
          <w:szCs w:val="24"/>
        </w:rPr>
        <w:t>It was suggested that the Working Group identify</w:t>
      </w:r>
      <w:r w:rsidRPr="00842E54">
        <w:rPr>
          <w:rFonts w:ascii="Times New Roman" w:hAnsi="Times New Roman" w:cs="Times New Roman"/>
          <w:sz w:val="24"/>
          <w:szCs w:val="24"/>
        </w:rPr>
        <w:t xml:space="preserve"> the risk</w:t>
      </w:r>
      <w:r w:rsidR="00842E54">
        <w:rPr>
          <w:rFonts w:ascii="Times New Roman" w:hAnsi="Times New Roman" w:cs="Times New Roman"/>
          <w:sz w:val="24"/>
          <w:szCs w:val="24"/>
        </w:rPr>
        <w:t>s</w:t>
      </w:r>
      <w:r w:rsidRPr="00842E54">
        <w:rPr>
          <w:rFonts w:ascii="Times New Roman" w:hAnsi="Times New Roman" w:cs="Times New Roman"/>
          <w:sz w:val="24"/>
          <w:szCs w:val="24"/>
        </w:rPr>
        <w:t xml:space="preserve"> associated with differ</w:t>
      </w:r>
      <w:r w:rsidR="00842E54">
        <w:rPr>
          <w:rFonts w:ascii="Times New Roman" w:hAnsi="Times New Roman" w:cs="Times New Roman"/>
          <w:sz w:val="24"/>
          <w:szCs w:val="24"/>
        </w:rPr>
        <w:t xml:space="preserve">ent methods of assessment and collection, and the ease with which various risks can be mitigated, since an approach that is </w:t>
      </w:r>
      <w:r w:rsidR="00842E54" w:rsidRPr="00842E54">
        <w:rPr>
          <w:rFonts w:ascii="Times New Roman" w:hAnsi="Times New Roman" w:cs="Times New Roman"/>
          <w:sz w:val="24"/>
          <w:szCs w:val="24"/>
        </w:rPr>
        <w:t>equitable and efficient might also be high risk.</w:t>
      </w:r>
      <w:r w:rsidR="00842E54">
        <w:rPr>
          <w:rFonts w:ascii="Times New Roman" w:hAnsi="Times New Roman" w:cs="Times New Roman"/>
          <w:sz w:val="24"/>
          <w:szCs w:val="24"/>
        </w:rPr>
        <w:t xml:space="preserve">  For example, statewide i</w:t>
      </w:r>
      <w:r w:rsidR="00842E54" w:rsidRPr="00842E54">
        <w:rPr>
          <w:rFonts w:ascii="Times New Roman" w:hAnsi="Times New Roman" w:cs="Times New Roman"/>
          <w:sz w:val="24"/>
          <w:szCs w:val="24"/>
        </w:rPr>
        <w:t xml:space="preserve">mpervious surface data </w:t>
      </w:r>
      <w:r w:rsidR="00842E54">
        <w:rPr>
          <w:rFonts w:ascii="Times New Roman" w:hAnsi="Times New Roman" w:cs="Times New Roman"/>
          <w:sz w:val="24"/>
          <w:szCs w:val="24"/>
        </w:rPr>
        <w:t>won’t be available by summer 2018, and statewide parcel data won’t be available until 2020.  Even then, the parcel data will</w:t>
      </w:r>
      <w:r w:rsidR="00842E54" w:rsidRPr="00842E54">
        <w:rPr>
          <w:rFonts w:ascii="Times New Roman" w:hAnsi="Times New Roman" w:cs="Times New Roman"/>
          <w:sz w:val="24"/>
          <w:szCs w:val="24"/>
        </w:rPr>
        <w:t xml:space="preserve"> not </w:t>
      </w:r>
      <w:r w:rsidR="00842E54">
        <w:rPr>
          <w:rFonts w:ascii="Times New Roman" w:hAnsi="Times New Roman" w:cs="Times New Roman"/>
          <w:sz w:val="24"/>
          <w:szCs w:val="24"/>
        </w:rPr>
        <w:t>be</w:t>
      </w:r>
      <w:r w:rsidR="00842E54" w:rsidRPr="00842E54">
        <w:rPr>
          <w:rFonts w:ascii="Times New Roman" w:hAnsi="Times New Roman" w:cs="Times New Roman"/>
          <w:sz w:val="24"/>
          <w:szCs w:val="24"/>
        </w:rPr>
        <w:t xml:space="preserve"> survey-quality. If the parcel data is used to invoice people, </w:t>
      </w:r>
      <w:r w:rsidR="00842E54">
        <w:rPr>
          <w:rFonts w:ascii="Times New Roman" w:hAnsi="Times New Roman" w:cs="Times New Roman"/>
          <w:sz w:val="24"/>
          <w:szCs w:val="24"/>
        </w:rPr>
        <w:t>the state and municipalities will need to understand the</w:t>
      </w:r>
      <w:r w:rsidR="00842E54" w:rsidRPr="00842E54">
        <w:rPr>
          <w:rFonts w:ascii="Times New Roman" w:hAnsi="Times New Roman" w:cs="Times New Roman"/>
          <w:sz w:val="24"/>
          <w:szCs w:val="24"/>
        </w:rPr>
        <w:t xml:space="preserve"> risk.  </w:t>
      </w:r>
      <w:r w:rsidR="009D4DED">
        <w:rPr>
          <w:rFonts w:ascii="Times New Roman" w:hAnsi="Times New Roman" w:cs="Times New Roman"/>
          <w:sz w:val="24"/>
          <w:szCs w:val="24"/>
        </w:rPr>
        <w:t xml:space="preserve">If the error rate is 1%, and the state or the municipalities impose an impervious surface fee on 300,000 parcels, </w:t>
      </w:r>
      <w:r w:rsidR="003E7BCF">
        <w:rPr>
          <w:rFonts w:ascii="Times New Roman" w:hAnsi="Times New Roman" w:cs="Times New Roman"/>
          <w:sz w:val="24"/>
          <w:szCs w:val="24"/>
        </w:rPr>
        <w:t>potentially</w:t>
      </w:r>
      <w:r w:rsidR="009D4DED">
        <w:rPr>
          <w:rFonts w:ascii="Times New Roman" w:hAnsi="Times New Roman" w:cs="Times New Roman"/>
          <w:sz w:val="24"/>
          <w:szCs w:val="24"/>
        </w:rPr>
        <w:t xml:space="preserve"> 3,000 parcels </w:t>
      </w:r>
      <w:r w:rsidR="003E7BCF">
        <w:rPr>
          <w:rFonts w:ascii="Times New Roman" w:hAnsi="Times New Roman" w:cs="Times New Roman"/>
          <w:sz w:val="24"/>
          <w:szCs w:val="24"/>
        </w:rPr>
        <w:t>will have</w:t>
      </w:r>
      <w:r w:rsidR="009D4DED">
        <w:rPr>
          <w:rFonts w:ascii="Times New Roman" w:hAnsi="Times New Roman" w:cs="Times New Roman"/>
          <w:sz w:val="24"/>
          <w:szCs w:val="24"/>
        </w:rPr>
        <w:t xml:space="preserve"> </w:t>
      </w:r>
      <w:r w:rsidR="003E7BCF">
        <w:rPr>
          <w:rFonts w:ascii="Times New Roman" w:hAnsi="Times New Roman" w:cs="Times New Roman"/>
          <w:sz w:val="24"/>
          <w:szCs w:val="24"/>
        </w:rPr>
        <w:t>incorrect data</w:t>
      </w:r>
      <w:r w:rsidR="009D4DED">
        <w:rPr>
          <w:rFonts w:ascii="Times New Roman" w:hAnsi="Times New Roman" w:cs="Times New Roman"/>
          <w:sz w:val="24"/>
          <w:szCs w:val="24"/>
        </w:rPr>
        <w:t>.</w:t>
      </w:r>
      <w:r w:rsidR="003E7BCF">
        <w:rPr>
          <w:rFonts w:ascii="Times New Roman" w:hAnsi="Times New Roman" w:cs="Times New Roman"/>
          <w:sz w:val="24"/>
          <w:szCs w:val="24"/>
        </w:rPr>
        <w:t xml:space="preserve">  Furthermore, the cost of updating the impervious surface data will need to be estimated, especially in relation to subdivisions, which are not always reported to the state.</w:t>
      </w:r>
      <w:r w:rsidR="00CD3101">
        <w:rPr>
          <w:rFonts w:ascii="Times New Roman" w:hAnsi="Times New Roman" w:cs="Times New Roman"/>
          <w:sz w:val="24"/>
          <w:szCs w:val="24"/>
        </w:rPr>
        <w:t xml:space="preserve">  VCGI will provide some estimates of the cost and risks to stand up an assessment system based on statewide impervious surface data.</w:t>
      </w:r>
    </w:p>
    <w:p w:rsidR="003E7BCF" w:rsidRDefault="003E7BCF" w:rsidP="00842E54">
      <w:pPr>
        <w:spacing w:after="0"/>
        <w:ind w:left="720"/>
        <w:rPr>
          <w:rFonts w:ascii="Times New Roman" w:hAnsi="Times New Roman" w:cs="Times New Roman"/>
          <w:sz w:val="24"/>
          <w:szCs w:val="24"/>
        </w:rPr>
      </w:pPr>
    </w:p>
    <w:p w:rsidR="003E7BCF" w:rsidRDefault="003E7BCF" w:rsidP="003E7BCF">
      <w:pPr>
        <w:pStyle w:val="ListParagraph"/>
        <w:numPr>
          <w:ilvl w:val="1"/>
          <w:numId w:val="25"/>
        </w:numPr>
        <w:spacing w:after="0"/>
        <w:rPr>
          <w:rFonts w:ascii="Times New Roman" w:hAnsi="Times New Roman" w:cs="Times New Roman"/>
          <w:sz w:val="24"/>
          <w:szCs w:val="24"/>
        </w:rPr>
      </w:pPr>
      <w:r w:rsidRPr="003E7BCF">
        <w:rPr>
          <w:rFonts w:ascii="Times New Roman" w:hAnsi="Times New Roman" w:cs="Times New Roman"/>
          <w:sz w:val="24"/>
          <w:szCs w:val="24"/>
          <w:u w:val="single"/>
        </w:rPr>
        <w:t>C</w:t>
      </w:r>
      <w:r w:rsidRPr="003E7BCF">
        <w:rPr>
          <w:rFonts w:ascii="Times New Roman" w:hAnsi="Times New Roman" w:cs="Times New Roman"/>
          <w:sz w:val="24"/>
          <w:szCs w:val="24"/>
          <w:u w:val="single"/>
        </w:rPr>
        <w:t xml:space="preserve">ollection of </w:t>
      </w:r>
      <w:proofErr w:type="spellStart"/>
      <w:r w:rsidRPr="003E7BCF">
        <w:rPr>
          <w:rFonts w:ascii="Times New Roman" w:hAnsi="Times New Roman" w:cs="Times New Roman"/>
          <w:sz w:val="24"/>
          <w:szCs w:val="24"/>
          <w:u w:val="single"/>
        </w:rPr>
        <w:t>stormwater</w:t>
      </w:r>
      <w:proofErr w:type="spellEnd"/>
      <w:r w:rsidRPr="003E7BCF">
        <w:rPr>
          <w:rFonts w:ascii="Times New Roman" w:hAnsi="Times New Roman" w:cs="Times New Roman"/>
          <w:sz w:val="24"/>
          <w:szCs w:val="24"/>
          <w:u w:val="single"/>
        </w:rPr>
        <w:t xml:space="preserve"> fees by local, regional, statewide or agricultural utilities</w:t>
      </w:r>
      <w:r>
        <w:rPr>
          <w:rFonts w:ascii="Times New Roman" w:hAnsi="Times New Roman" w:cs="Times New Roman"/>
          <w:sz w:val="24"/>
          <w:szCs w:val="24"/>
          <w:u w:val="single"/>
        </w:rPr>
        <w:t xml:space="preserve"> (or combination)</w:t>
      </w:r>
      <w:r>
        <w:rPr>
          <w:rFonts w:ascii="Times New Roman" w:hAnsi="Times New Roman" w:cs="Times New Roman"/>
          <w:sz w:val="24"/>
          <w:szCs w:val="24"/>
        </w:rPr>
        <w:t xml:space="preserve">.  Several scenarios were briefly </w:t>
      </w:r>
      <w:r w:rsidR="00AC3721">
        <w:rPr>
          <w:rFonts w:ascii="Times New Roman" w:hAnsi="Times New Roman" w:cs="Times New Roman"/>
          <w:sz w:val="24"/>
          <w:szCs w:val="24"/>
        </w:rPr>
        <w:t>put forward</w:t>
      </w:r>
      <w:r>
        <w:rPr>
          <w:rFonts w:ascii="Times New Roman" w:hAnsi="Times New Roman" w:cs="Times New Roman"/>
          <w:sz w:val="24"/>
          <w:szCs w:val="24"/>
        </w:rPr>
        <w:t>.</w:t>
      </w:r>
    </w:p>
    <w:p w:rsidR="003E7BCF" w:rsidRDefault="003E7BCF" w:rsidP="003E7BCF">
      <w:pPr>
        <w:pStyle w:val="ListParagraph"/>
        <w:spacing w:after="0"/>
        <w:ind w:left="810"/>
        <w:rPr>
          <w:rFonts w:ascii="Times New Roman" w:hAnsi="Times New Roman" w:cs="Times New Roman"/>
          <w:sz w:val="24"/>
          <w:szCs w:val="24"/>
        </w:rPr>
      </w:pPr>
    </w:p>
    <w:p w:rsidR="00AC3721" w:rsidRPr="00AC3721" w:rsidRDefault="003E7BCF" w:rsidP="00AC3721">
      <w:pPr>
        <w:pStyle w:val="ListParagraph"/>
        <w:numPr>
          <w:ilvl w:val="0"/>
          <w:numId w:val="29"/>
        </w:numPr>
        <w:spacing w:after="0"/>
        <w:ind w:left="1080"/>
        <w:rPr>
          <w:rFonts w:ascii="Times New Roman" w:hAnsi="Times New Roman" w:cs="Times New Roman"/>
          <w:sz w:val="24"/>
          <w:szCs w:val="24"/>
        </w:rPr>
      </w:pPr>
      <w:r w:rsidRPr="00AC3721">
        <w:rPr>
          <w:rFonts w:ascii="Times New Roman" w:hAnsi="Times New Roman" w:cs="Times New Roman"/>
          <w:sz w:val="24"/>
          <w:szCs w:val="24"/>
        </w:rPr>
        <w:t xml:space="preserve">Municipalities or regional entities </w:t>
      </w:r>
      <w:r w:rsidR="00BB78B5" w:rsidRPr="00AC3721">
        <w:rPr>
          <w:rFonts w:ascii="Times New Roman" w:hAnsi="Times New Roman" w:cs="Times New Roman"/>
          <w:sz w:val="24"/>
          <w:szCs w:val="24"/>
        </w:rPr>
        <w:t>might</w:t>
      </w:r>
      <w:r w:rsidRPr="00AC3721">
        <w:rPr>
          <w:rFonts w:ascii="Times New Roman" w:hAnsi="Times New Roman" w:cs="Times New Roman"/>
          <w:sz w:val="24"/>
          <w:szCs w:val="24"/>
        </w:rPr>
        <w:t xml:space="preserve"> step up to collect a local </w:t>
      </w:r>
      <w:proofErr w:type="spellStart"/>
      <w:r w:rsidRPr="00AC3721">
        <w:rPr>
          <w:rFonts w:ascii="Times New Roman" w:hAnsi="Times New Roman" w:cs="Times New Roman"/>
          <w:sz w:val="24"/>
          <w:szCs w:val="24"/>
        </w:rPr>
        <w:t>stormwater</w:t>
      </w:r>
      <w:proofErr w:type="spellEnd"/>
      <w:r w:rsidRPr="00AC3721">
        <w:rPr>
          <w:rFonts w:ascii="Times New Roman" w:hAnsi="Times New Roman" w:cs="Times New Roman"/>
          <w:sz w:val="24"/>
          <w:szCs w:val="24"/>
        </w:rPr>
        <w:t xml:space="preserve"> fee if </w:t>
      </w:r>
      <w:r w:rsidR="00BB78B5" w:rsidRPr="00AC3721">
        <w:rPr>
          <w:rFonts w:ascii="Times New Roman" w:hAnsi="Times New Roman" w:cs="Times New Roman"/>
          <w:sz w:val="24"/>
          <w:szCs w:val="24"/>
        </w:rPr>
        <w:t>collection is</w:t>
      </w:r>
      <w:r w:rsidRPr="00AC3721">
        <w:rPr>
          <w:rFonts w:ascii="Times New Roman" w:hAnsi="Times New Roman" w:cs="Times New Roman"/>
          <w:sz w:val="24"/>
          <w:szCs w:val="24"/>
        </w:rPr>
        <w:t xml:space="preserve"> not mandatory.  If the municipality or region does not impose its own a </w:t>
      </w:r>
      <w:proofErr w:type="spellStart"/>
      <w:r w:rsidRPr="00AC3721">
        <w:rPr>
          <w:rFonts w:ascii="Times New Roman" w:hAnsi="Times New Roman" w:cs="Times New Roman"/>
          <w:sz w:val="24"/>
          <w:szCs w:val="24"/>
        </w:rPr>
        <w:t>stormwater</w:t>
      </w:r>
      <w:proofErr w:type="spellEnd"/>
      <w:r w:rsidRPr="00AC3721">
        <w:rPr>
          <w:rFonts w:ascii="Times New Roman" w:hAnsi="Times New Roman" w:cs="Times New Roman"/>
          <w:sz w:val="24"/>
          <w:szCs w:val="24"/>
        </w:rPr>
        <w:t xml:space="preserve"> fee, </w:t>
      </w:r>
      <w:r w:rsidR="00CF2714">
        <w:rPr>
          <w:rFonts w:ascii="Times New Roman" w:hAnsi="Times New Roman" w:cs="Times New Roman"/>
          <w:sz w:val="24"/>
          <w:szCs w:val="24"/>
        </w:rPr>
        <w:t xml:space="preserve">maybe </w:t>
      </w:r>
      <w:r w:rsidRPr="00AC3721">
        <w:rPr>
          <w:rFonts w:ascii="Times New Roman" w:hAnsi="Times New Roman" w:cs="Times New Roman"/>
          <w:sz w:val="24"/>
          <w:szCs w:val="24"/>
        </w:rPr>
        <w:t xml:space="preserve">a statewide </w:t>
      </w:r>
      <w:proofErr w:type="spellStart"/>
      <w:r w:rsidRPr="00AC3721">
        <w:rPr>
          <w:rFonts w:ascii="Times New Roman" w:hAnsi="Times New Roman" w:cs="Times New Roman"/>
          <w:sz w:val="24"/>
          <w:szCs w:val="24"/>
        </w:rPr>
        <w:t>stormwater</w:t>
      </w:r>
      <w:proofErr w:type="spellEnd"/>
      <w:r w:rsidRPr="00AC3721">
        <w:rPr>
          <w:rFonts w:ascii="Times New Roman" w:hAnsi="Times New Roman" w:cs="Times New Roman"/>
          <w:sz w:val="24"/>
          <w:szCs w:val="24"/>
        </w:rPr>
        <w:t xml:space="preserve"> fee (collected by the state) </w:t>
      </w:r>
      <w:r w:rsidR="00CF2714">
        <w:rPr>
          <w:rFonts w:ascii="Times New Roman" w:hAnsi="Times New Roman" w:cs="Times New Roman"/>
          <w:sz w:val="24"/>
          <w:szCs w:val="24"/>
        </w:rPr>
        <w:t>would</w:t>
      </w:r>
      <w:r w:rsidRPr="00AC3721">
        <w:rPr>
          <w:rFonts w:ascii="Times New Roman" w:hAnsi="Times New Roman" w:cs="Times New Roman"/>
          <w:sz w:val="24"/>
          <w:szCs w:val="24"/>
        </w:rPr>
        <w:t xml:space="preserve"> kick in</w:t>
      </w:r>
      <w:r w:rsidR="00CF2714">
        <w:rPr>
          <w:rFonts w:ascii="Times New Roman" w:hAnsi="Times New Roman" w:cs="Times New Roman"/>
          <w:sz w:val="24"/>
          <w:szCs w:val="24"/>
        </w:rPr>
        <w:t>.</w:t>
      </w:r>
      <w:r w:rsidR="00AC3721" w:rsidRPr="00AC3721">
        <w:rPr>
          <w:rFonts w:ascii="Times New Roman" w:hAnsi="Times New Roman" w:cs="Times New Roman"/>
          <w:sz w:val="24"/>
          <w:szCs w:val="24"/>
        </w:rPr>
        <w:t xml:space="preserve">  </w:t>
      </w:r>
      <w:r w:rsidR="00AC3721" w:rsidRPr="00AC3721">
        <w:rPr>
          <w:rFonts w:ascii="Times New Roman" w:hAnsi="Times New Roman" w:cs="Times New Roman"/>
          <w:sz w:val="24"/>
          <w:szCs w:val="24"/>
        </w:rPr>
        <w:t xml:space="preserve">VLCT will </w:t>
      </w:r>
      <w:r w:rsidR="00AC3721">
        <w:rPr>
          <w:rFonts w:ascii="Times New Roman" w:hAnsi="Times New Roman" w:cs="Times New Roman"/>
          <w:sz w:val="24"/>
          <w:szCs w:val="24"/>
        </w:rPr>
        <w:t xml:space="preserve">provide some cost estimates for standing up local collection of </w:t>
      </w:r>
      <w:proofErr w:type="spellStart"/>
      <w:r w:rsidR="00AC3721">
        <w:rPr>
          <w:rFonts w:ascii="Times New Roman" w:hAnsi="Times New Roman" w:cs="Times New Roman"/>
          <w:sz w:val="24"/>
          <w:szCs w:val="24"/>
        </w:rPr>
        <w:t>stormwater</w:t>
      </w:r>
      <w:proofErr w:type="spellEnd"/>
      <w:r w:rsidR="00AC3721">
        <w:rPr>
          <w:rFonts w:ascii="Times New Roman" w:hAnsi="Times New Roman" w:cs="Times New Roman"/>
          <w:sz w:val="24"/>
          <w:szCs w:val="24"/>
        </w:rPr>
        <w:t xml:space="preserve"> fees.</w:t>
      </w:r>
    </w:p>
    <w:p w:rsidR="003E7BCF" w:rsidRPr="00AC3721" w:rsidRDefault="003E7BCF" w:rsidP="00AC3721">
      <w:pPr>
        <w:spacing w:after="0"/>
        <w:rPr>
          <w:rFonts w:ascii="Times New Roman" w:hAnsi="Times New Roman" w:cs="Times New Roman"/>
          <w:sz w:val="24"/>
          <w:szCs w:val="24"/>
        </w:rPr>
      </w:pPr>
    </w:p>
    <w:p w:rsidR="003E7BCF" w:rsidRPr="003E7BCF" w:rsidRDefault="003E7BCF" w:rsidP="003E7BCF">
      <w:pPr>
        <w:pStyle w:val="ListParagraph"/>
        <w:spacing w:after="0"/>
        <w:ind w:left="1080" w:hanging="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Regulated entities with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operating permits could be required to pay an additional state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fee.  Regulated entities would be obligated to update impervious surface data held by the state.</w:t>
      </w:r>
    </w:p>
    <w:p w:rsidR="003E7BCF" w:rsidRPr="00842E54" w:rsidRDefault="003E7BCF" w:rsidP="00F34F05">
      <w:pPr>
        <w:spacing w:after="0"/>
        <w:rPr>
          <w:rFonts w:ascii="Times New Roman" w:hAnsi="Times New Roman" w:cs="Times New Roman"/>
          <w:sz w:val="24"/>
          <w:szCs w:val="24"/>
        </w:rPr>
      </w:pPr>
    </w:p>
    <w:p w:rsidR="005F33D2" w:rsidRPr="00CD3101" w:rsidRDefault="005F33D2" w:rsidP="00CD3101">
      <w:pPr>
        <w:pStyle w:val="ListParagraph"/>
        <w:numPr>
          <w:ilvl w:val="0"/>
          <w:numId w:val="25"/>
        </w:numPr>
        <w:spacing w:after="0"/>
        <w:ind w:left="450"/>
        <w:rPr>
          <w:rFonts w:ascii="Times New Roman" w:hAnsi="Times New Roman" w:cs="Times New Roman"/>
          <w:sz w:val="24"/>
          <w:szCs w:val="24"/>
        </w:rPr>
      </w:pPr>
      <w:r w:rsidRPr="00FF48CB">
        <w:rPr>
          <w:rFonts w:ascii="Times New Roman" w:hAnsi="Times New Roman" w:cs="Times New Roman"/>
          <w:sz w:val="24"/>
          <w:szCs w:val="24"/>
          <w:u w:val="single"/>
        </w:rPr>
        <w:t>Updated TMDL, CSO and Act 64 compliance costs estimates for 2020-2024</w:t>
      </w:r>
    </w:p>
    <w:p w:rsidR="00AC3721" w:rsidRDefault="00AC3721" w:rsidP="00AC3721">
      <w:pPr>
        <w:spacing w:after="0"/>
        <w:rPr>
          <w:rFonts w:ascii="Times New Roman" w:hAnsi="Times New Roman" w:cs="Times New Roman"/>
          <w:sz w:val="24"/>
          <w:szCs w:val="24"/>
        </w:rPr>
      </w:pPr>
    </w:p>
    <w:p w:rsidR="00CD3101" w:rsidRDefault="00AC3721" w:rsidP="00AC3721">
      <w:pPr>
        <w:spacing w:after="0"/>
        <w:ind w:left="450"/>
        <w:rPr>
          <w:rFonts w:ascii="Times New Roman" w:hAnsi="Times New Roman" w:cs="Times New Roman"/>
          <w:sz w:val="24"/>
          <w:szCs w:val="24"/>
        </w:rPr>
      </w:pPr>
      <w:r>
        <w:rPr>
          <w:rFonts w:ascii="Times New Roman" w:hAnsi="Times New Roman" w:cs="Times New Roman"/>
          <w:sz w:val="24"/>
          <w:szCs w:val="24"/>
        </w:rPr>
        <w:t>It was noted that the Treasurer’s Report (January 2017) provided annualized averages of water quality compliance costs over a 20-year period, but that for budgeting purposes the state needs to look at cost curves.  Costs of compliance may be</w:t>
      </w:r>
      <w:r w:rsidRPr="00AC3721">
        <w:rPr>
          <w:rFonts w:ascii="Times New Roman" w:hAnsi="Times New Roman" w:cs="Times New Roman"/>
          <w:sz w:val="24"/>
          <w:szCs w:val="24"/>
        </w:rPr>
        <w:t xml:space="preserve"> less in early years, more in middle years, less in out years.   </w:t>
      </w:r>
    </w:p>
    <w:p w:rsidR="00CD3101" w:rsidRDefault="00CD3101" w:rsidP="00AC3721">
      <w:pPr>
        <w:spacing w:after="0"/>
        <w:ind w:left="450"/>
        <w:rPr>
          <w:rFonts w:ascii="Times New Roman" w:hAnsi="Times New Roman" w:cs="Times New Roman"/>
          <w:sz w:val="24"/>
          <w:szCs w:val="24"/>
        </w:rPr>
      </w:pPr>
    </w:p>
    <w:p w:rsidR="00AC3721" w:rsidRDefault="00AC3721" w:rsidP="00AC3721">
      <w:pPr>
        <w:spacing w:after="0"/>
        <w:ind w:left="450"/>
        <w:rPr>
          <w:rFonts w:ascii="Times New Roman" w:hAnsi="Times New Roman" w:cs="Times New Roman"/>
          <w:sz w:val="24"/>
          <w:szCs w:val="24"/>
        </w:rPr>
      </w:pPr>
      <w:r>
        <w:rPr>
          <w:rFonts w:ascii="Times New Roman" w:hAnsi="Times New Roman" w:cs="Times New Roman"/>
          <w:sz w:val="24"/>
          <w:szCs w:val="24"/>
        </w:rPr>
        <w:t xml:space="preserve">Furthermore, not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gap</w:t>
      </w:r>
      <w:r w:rsidR="00CD3101">
        <w:rPr>
          <w:rFonts w:ascii="Times New Roman" w:hAnsi="Times New Roman" w:cs="Times New Roman"/>
          <w:sz w:val="24"/>
          <w:szCs w:val="24"/>
        </w:rPr>
        <w:t>s identified in the Treasurer’s Report need</w:t>
      </w:r>
      <w:r>
        <w:rPr>
          <w:rFonts w:ascii="Times New Roman" w:hAnsi="Times New Roman" w:cs="Times New Roman"/>
          <w:sz w:val="24"/>
          <w:szCs w:val="24"/>
        </w:rPr>
        <w:t xml:space="preserve"> to be filled by the state, and not all sectors need to be subsidized at the same rate.  Generally, municipal wastewater treatment facilities are eligible for municipal pollution control grants up to 35% of project costs, farmers who implement best management practices are eligible for federal and state grants up to 80% or 90% of project costs, municipal road projects are eligible for incentives up to 80% of project costs, while private property owners are eligible for 0% of project costs.</w:t>
      </w:r>
      <w:r w:rsidR="00CD3101">
        <w:rPr>
          <w:rFonts w:ascii="Times New Roman" w:hAnsi="Times New Roman" w:cs="Times New Roman"/>
          <w:sz w:val="24"/>
          <w:szCs w:val="24"/>
        </w:rPr>
        <w:t xml:space="preserve">  In addition, not all funding sources can be used to all purposes; for example, the Transportation Bill cannot fund wastewater treatment facility upgrades.</w:t>
      </w:r>
      <w:r>
        <w:rPr>
          <w:rFonts w:ascii="Times New Roman" w:hAnsi="Times New Roman" w:cs="Times New Roman"/>
          <w:sz w:val="24"/>
          <w:szCs w:val="24"/>
        </w:rPr>
        <w:t xml:space="preserve">  As a next step, state agencies (ANR, AAFM and </w:t>
      </w:r>
      <w:proofErr w:type="spellStart"/>
      <w:r>
        <w:rPr>
          <w:rFonts w:ascii="Times New Roman" w:hAnsi="Times New Roman" w:cs="Times New Roman"/>
          <w:sz w:val="24"/>
          <w:szCs w:val="24"/>
        </w:rPr>
        <w:t>VTrans</w:t>
      </w:r>
      <w:proofErr w:type="spellEnd"/>
      <w:r>
        <w:rPr>
          <w:rFonts w:ascii="Times New Roman" w:hAnsi="Times New Roman" w:cs="Times New Roman"/>
          <w:sz w:val="24"/>
          <w:szCs w:val="24"/>
        </w:rPr>
        <w:t>) will review the projected costs in the Treasurer’s Report for the years SFY2020 to SFY2024.  The Working Group will review these costs and the level of incentives by landowner type.</w:t>
      </w:r>
    </w:p>
    <w:p w:rsidR="00AC3721" w:rsidRDefault="00AC3721" w:rsidP="00AC3721">
      <w:pPr>
        <w:spacing w:after="0"/>
        <w:ind w:left="450"/>
        <w:rPr>
          <w:rFonts w:ascii="Times New Roman" w:hAnsi="Times New Roman" w:cs="Times New Roman"/>
          <w:sz w:val="24"/>
          <w:szCs w:val="24"/>
        </w:rPr>
      </w:pPr>
    </w:p>
    <w:p w:rsidR="00CD3101" w:rsidRDefault="00CD3101" w:rsidP="00CD3101">
      <w:pPr>
        <w:pStyle w:val="ListParagraph"/>
        <w:numPr>
          <w:ilvl w:val="0"/>
          <w:numId w:val="25"/>
        </w:numPr>
        <w:spacing w:after="0"/>
        <w:ind w:left="360"/>
        <w:rPr>
          <w:rFonts w:ascii="Times New Roman" w:hAnsi="Times New Roman" w:cs="Times New Roman"/>
          <w:sz w:val="24"/>
          <w:szCs w:val="24"/>
        </w:rPr>
      </w:pPr>
      <w:r w:rsidRPr="00CD3101">
        <w:rPr>
          <w:rFonts w:ascii="Times New Roman" w:hAnsi="Times New Roman" w:cs="Times New Roman"/>
          <w:sz w:val="24"/>
          <w:szCs w:val="24"/>
          <w:u w:val="single"/>
        </w:rPr>
        <w:t>Letter from Sen. Bray</w:t>
      </w:r>
      <w:r>
        <w:rPr>
          <w:rFonts w:ascii="Times New Roman" w:hAnsi="Times New Roman" w:cs="Times New Roman"/>
          <w:sz w:val="24"/>
          <w:szCs w:val="24"/>
        </w:rPr>
        <w:t>.  Senator Bray welcomed the opportunity to address the Act 73 Working Group, and to follow up on his letter dated</w:t>
      </w:r>
      <w:r w:rsidR="00FF48CB">
        <w:rPr>
          <w:rFonts w:ascii="Times New Roman" w:hAnsi="Times New Roman" w:cs="Times New Roman"/>
          <w:sz w:val="24"/>
          <w:szCs w:val="24"/>
        </w:rPr>
        <w:t xml:space="preserve"> July 17th</w:t>
      </w:r>
      <w:r>
        <w:rPr>
          <w:rFonts w:ascii="Times New Roman" w:hAnsi="Times New Roman" w:cs="Times New Roman"/>
          <w:sz w:val="24"/>
          <w:szCs w:val="24"/>
        </w:rPr>
        <w:t>.  Sen. Bray emphasized the need for clarity concerning how revenues will be spent</w:t>
      </w:r>
      <w:r w:rsidR="00FF48CB">
        <w:rPr>
          <w:rFonts w:ascii="Times New Roman" w:hAnsi="Times New Roman" w:cs="Times New Roman"/>
          <w:sz w:val="24"/>
          <w:szCs w:val="24"/>
        </w:rPr>
        <w:t>, and that c</w:t>
      </w:r>
      <w:r>
        <w:rPr>
          <w:rFonts w:ascii="Times New Roman" w:hAnsi="Times New Roman" w:cs="Times New Roman"/>
          <w:sz w:val="24"/>
          <w:szCs w:val="24"/>
        </w:rPr>
        <w:t xml:space="preserve">larity on spending will facilitate the legislative process for funding.  </w:t>
      </w:r>
      <w:r w:rsidR="00FF48CB">
        <w:rPr>
          <w:rFonts w:ascii="Times New Roman" w:hAnsi="Times New Roman" w:cs="Times New Roman"/>
          <w:sz w:val="24"/>
          <w:szCs w:val="24"/>
        </w:rPr>
        <w:t>The Working Group acknowledged the need for more clarity, and will be reviewing costs at the next meeting on August 11</w:t>
      </w:r>
      <w:r w:rsidR="00FF48CB" w:rsidRPr="00FF48CB">
        <w:rPr>
          <w:rFonts w:ascii="Times New Roman" w:hAnsi="Times New Roman" w:cs="Times New Roman"/>
          <w:sz w:val="24"/>
          <w:szCs w:val="24"/>
          <w:vertAlign w:val="superscript"/>
        </w:rPr>
        <w:t>th</w:t>
      </w:r>
      <w:r w:rsidR="00FF48CB">
        <w:rPr>
          <w:rFonts w:ascii="Times New Roman" w:hAnsi="Times New Roman" w:cs="Times New Roman"/>
          <w:sz w:val="24"/>
          <w:szCs w:val="24"/>
        </w:rPr>
        <w:t>.</w:t>
      </w:r>
    </w:p>
    <w:p w:rsidR="00CD3101" w:rsidRPr="00CD3101" w:rsidRDefault="00CD3101" w:rsidP="00CD3101">
      <w:pPr>
        <w:spacing w:after="0"/>
        <w:rPr>
          <w:rFonts w:ascii="Times New Roman" w:hAnsi="Times New Roman" w:cs="Times New Roman"/>
          <w:sz w:val="24"/>
          <w:szCs w:val="24"/>
        </w:rPr>
      </w:pPr>
    </w:p>
    <w:p w:rsidR="00AC3721" w:rsidRPr="00FF48CB" w:rsidRDefault="00CD3101" w:rsidP="00CD3101">
      <w:pPr>
        <w:pStyle w:val="ListParagraph"/>
        <w:numPr>
          <w:ilvl w:val="0"/>
          <w:numId w:val="25"/>
        </w:numPr>
        <w:spacing w:after="0"/>
        <w:ind w:left="360"/>
        <w:rPr>
          <w:rFonts w:ascii="Times New Roman" w:hAnsi="Times New Roman" w:cs="Times New Roman"/>
          <w:sz w:val="24"/>
          <w:szCs w:val="24"/>
          <w:u w:val="single"/>
        </w:rPr>
      </w:pPr>
      <w:r w:rsidRPr="00FF48CB">
        <w:rPr>
          <w:rFonts w:ascii="Times New Roman" w:hAnsi="Times New Roman" w:cs="Times New Roman"/>
          <w:sz w:val="24"/>
          <w:szCs w:val="24"/>
          <w:u w:val="single"/>
        </w:rPr>
        <w:t>Next steps</w:t>
      </w:r>
    </w:p>
    <w:p w:rsidR="00CD3101" w:rsidRDefault="00CD3101" w:rsidP="00CD3101">
      <w:pPr>
        <w:spacing w:after="0"/>
        <w:rPr>
          <w:rFonts w:ascii="Times New Roman" w:hAnsi="Times New Roman" w:cs="Times New Roman"/>
          <w:sz w:val="24"/>
          <w:szCs w:val="24"/>
        </w:rPr>
      </w:pPr>
    </w:p>
    <w:p w:rsidR="00CD3101" w:rsidRPr="00CD3101" w:rsidRDefault="00CD3101" w:rsidP="00CD3101">
      <w:pPr>
        <w:pStyle w:val="ListParagraph"/>
        <w:numPr>
          <w:ilvl w:val="1"/>
          <w:numId w:val="31"/>
        </w:numPr>
        <w:spacing w:after="0"/>
        <w:ind w:left="900"/>
        <w:rPr>
          <w:rFonts w:ascii="Times New Roman" w:hAnsi="Times New Roman" w:cs="Times New Roman"/>
          <w:sz w:val="24"/>
          <w:szCs w:val="24"/>
        </w:rPr>
      </w:pPr>
      <w:r w:rsidRPr="00CD3101">
        <w:rPr>
          <w:rFonts w:ascii="Times New Roman" w:hAnsi="Times New Roman" w:cs="Times New Roman"/>
          <w:sz w:val="24"/>
          <w:szCs w:val="24"/>
        </w:rPr>
        <w:t>VCGI will provide some estimates of the cost and risks to stand up an assessment system based on statewide impervious surface data.</w:t>
      </w:r>
    </w:p>
    <w:p w:rsidR="00CD3101" w:rsidRPr="00CD3101" w:rsidRDefault="00CD3101" w:rsidP="00CD3101">
      <w:pPr>
        <w:pStyle w:val="ListParagraph"/>
        <w:numPr>
          <w:ilvl w:val="1"/>
          <w:numId w:val="31"/>
        </w:numPr>
        <w:spacing w:after="0"/>
        <w:ind w:left="900"/>
        <w:rPr>
          <w:rFonts w:ascii="Times New Roman" w:hAnsi="Times New Roman" w:cs="Times New Roman"/>
          <w:sz w:val="24"/>
          <w:szCs w:val="24"/>
        </w:rPr>
      </w:pPr>
      <w:r w:rsidRPr="00CD3101">
        <w:rPr>
          <w:rFonts w:ascii="Times New Roman" w:hAnsi="Times New Roman" w:cs="Times New Roman"/>
          <w:sz w:val="24"/>
          <w:szCs w:val="24"/>
        </w:rPr>
        <w:t xml:space="preserve">VLCT will provide some cost estimates for standing up local collection of </w:t>
      </w:r>
      <w:proofErr w:type="spellStart"/>
      <w:r w:rsidRPr="00CD3101">
        <w:rPr>
          <w:rFonts w:ascii="Times New Roman" w:hAnsi="Times New Roman" w:cs="Times New Roman"/>
          <w:sz w:val="24"/>
          <w:szCs w:val="24"/>
        </w:rPr>
        <w:t>stormwater</w:t>
      </w:r>
      <w:proofErr w:type="spellEnd"/>
      <w:r w:rsidRPr="00CD3101">
        <w:rPr>
          <w:rFonts w:ascii="Times New Roman" w:hAnsi="Times New Roman" w:cs="Times New Roman"/>
          <w:sz w:val="24"/>
          <w:szCs w:val="24"/>
        </w:rPr>
        <w:t xml:space="preserve"> fees.</w:t>
      </w:r>
    </w:p>
    <w:p w:rsidR="00CD3101" w:rsidRPr="00CD3101" w:rsidRDefault="00CD3101" w:rsidP="00CD3101">
      <w:pPr>
        <w:pStyle w:val="ListParagraph"/>
        <w:numPr>
          <w:ilvl w:val="1"/>
          <w:numId w:val="31"/>
        </w:numPr>
        <w:spacing w:after="0"/>
        <w:ind w:left="900"/>
        <w:rPr>
          <w:rFonts w:ascii="Times New Roman" w:hAnsi="Times New Roman" w:cs="Times New Roman"/>
          <w:sz w:val="24"/>
          <w:szCs w:val="24"/>
        </w:rPr>
      </w:pPr>
      <w:r w:rsidRPr="00CD3101">
        <w:rPr>
          <w:rFonts w:ascii="Times New Roman" w:hAnsi="Times New Roman" w:cs="Times New Roman"/>
          <w:sz w:val="24"/>
          <w:szCs w:val="24"/>
        </w:rPr>
        <w:t xml:space="preserve">ANR, AAFM and </w:t>
      </w:r>
      <w:proofErr w:type="spellStart"/>
      <w:r w:rsidRPr="00CD3101">
        <w:rPr>
          <w:rFonts w:ascii="Times New Roman" w:hAnsi="Times New Roman" w:cs="Times New Roman"/>
          <w:sz w:val="24"/>
          <w:szCs w:val="24"/>
        </w:rPr>
        <w:t>VTrans</w:t>
      </w:r>
      <w:proofErr w:type="spellEnd"/>
      <w:r w:rsidRPr="00CD3101">
        <w:rPr>
          <w:rFonts w:ascii="Times New Roman" w:hAnsi="Times New Roman" w:cs="Times New Roman"/>
          <w:sz w:val="24"/>
          <w:szCs w:val="24"/>
        </w:rPr>
        <w:t xml:space="preserve"> will review the projected costs in the Treasurer’s Report for the years SFY2020 to SFY20</w:t>
      </w:r>
      <w:r w:rsidRPr="00CD3101">
        <w:rPr>
          <w:rFonts w:ascii="Times New Roman" w:hAnsi="Times New Roman" w:cs="Times New Roman"/>
          <w:sz w:val="24"/>
          <w:szCs w:val="24"/>
        </w:rPr>
        <w:t>24 and provide updates.</w:t>
      </w:r>
    </w:p>
    <w:p w:rsidR="00CD3101" w:rsidRPr="00CD3101" w:rsidRDefault="00CD3101" w:rsidP="00CD3101">
      <w:pPr>
        <w:pStyle w:val="ListParagraph"/>
        <w:numPr>
          <w:ilvl w:val="1"/>
          <w:numId w:val="31"/>
        </w:numPr>
        <w:spacing w:after="0"/>
        <w:ind w:left="900"/>
        <w:rPr>
          <w:rFonts w:ascii="Times New Roman" w:hAnsi="Times New Roman" w:cs="Times New Roman"/>
          <w:sz w:val="24"/>
          <w:szCs w:val="24"/>
        </w:rPr>
      </w:pPr>
      <w:r w:rsidRPr="00CD3101">
        <w:rPr>
          <w:rFonts w:ascii="Times New Roman" w:hAnsi="Times New Roman" w:cs="Times New Roman"/>
          <w:sz w:val="24"/>
          <w:szCs w:val="24"/>
        </w:rPr>
        <w:t xml:space="preserve">Existing funding sources </w:t>
      </w:r>
      <w:r>
        <w:rPr>
          <w:rFonts w:ascii="Times New Roman" w:hAnsi="Times New Roman" w:cs="Times New Roman"/>
          <w:sz w:val="24"/>
          <w:szCs w:val="24"/>
        </w:rPr>
        <w:t xml:space="preserve">(other than a parcel or impervious surface fee) </w:t>
      </w:r>
      <w:r w:rsidRPr="00CD3101">
        <w:rPr>
          <w:rFonts w:ascii="Times New Roman" w:hAnsi="Times New Roman" w:cs="Times New Roman"/>
          <w:sz w:val="24"/>
          <w:szCs w:val="24"/>
        </w:rPr>
        <w:t>also need to be explored.</w:t>
      </w:r>
    </w:p>
    <w:p w:rsidR="000F50BA" w:rsidRDefault="000F50BA" w:rsidP="00F15CAD">
      <w:pPr>
        <w:spacing w:after="0"/>
        <w:rPr>
          <w:rFonts w:ascii="Times New Roman" w:hAnsi="Times New Roman" w:cs="Times New Roman"/>
          <w:b/>
          <w:sz w:val="24"/>
          <w:szCs w:val="24"/>
        </w:rPr>
      </w:pPr>
    </w:p>
    <w:p w:rsidR="00F15CAD" w:rsidRPr="00F15CAD" w:rsidRDefault="00F15CAD" w:rsidP="00F15CAD">
      <w:pPr>
        <w:spacing w:after="0"/>
        <w:rPr>
          <w:rFonts w:ascii="Times New Roman" w:hAnsi="Times New Roman" w:cs="Times New Roman"/>
          <w:b/>
          <w:sz w:val="24"/>
          <w:szCs w:val="24"/>
        </w:rPr>
      </w:pPr>
      <w:r w:rsidRPr="00F15CAD">
        <w:rPr>
          <w:rFonts w:ascii="Times New Roman" w:hAnsi="Times New Roman" w:cs="Times New Roman"/>
          <w:b/>
          <w:sz w:val="24"/>
          <w:szCs w:val="24"/>
        </w:rPr>
        <w:t>Future Meetings</w:t>
      </w:r>
    </w:p>
    <w:p w:rsidR="00F15CAD" w:rsidRDefault="00BF252B" w:rsidP="00F15CAD">
      <w:pPr>
        <w:spacing w:after="0"/>
        <w:rPr>
          <w:rFonts w:ascii="Times New Roman" w:hAnsi="Times New Roman" w:cs="Times New Roman"/>
          <w:sz w:val="24"/>
          <w:szCs w:val="24"/>
        </w:rPr>
      </w:pPr>
      <w:r>
        <w:rPr>
          <w:rFonts w:ascii="Times New Roman" w:hAnsi="Times New Roman" w:cs="Times New Roman"/>
          <w:sz w:val="24"/>
          <w:szCs w:val="24"/>
        </w:rPr>
        <w:tab/>
        <w:t>Friday, August 11</w:t>
      </w:r>
      <w:r w:rsidR="00F15CAD">
        <w:rPr>
          <w:rFonts w:ascii="Times New Roman" w:hAnsi="Times New Roman" w:cs="Times New Roman"/>
          <w:sz w:val="24"/>
          <w:szCs w:val="24"/>
        </w:rPr>
        <w:t xml:space="preserve"> (9:00-10:30)</w:t>
      </w:r>
    </w:p>
    <w:p w:rsidR="00F15CAD" w:rsidRDefault="00F15CAD" w:rsidP="00F15CAD">
      <w:pPr>
        <w:spacing w:after="0"/>
        <w:rPr>
          <w:rFonts w:ascii="Times New Roman" w:hAnsi="Times New Roman" w:cs="Times New Roman"/>
          <w:sz w:val="24"/>
          <w:szCs w:val="24"/>
        </w:rPr>
      </w:pPr>
      <w:r>
        <w:rPr>
          <w:rFonts w:ascii="Times New Roman" w:hAnsi="Times New Roman" w:cs="Times New Roman"/>
          <w:sz w:val="24"/>
          <w:szCs w:val="24"/>
        </w:rPr>
        <w:tab/>
        <w:t>Friday, August 25 (9:00-10:30)</w:t>
      </w:r>
    </w:p>
    <w:p w:rsidR="00F15CAD" w:rsidRDefault="00F15CAD" w:rsidP="00F15CAD">
      <w:pPr>
        <w:spacing w:after="0"/>
        <w:rPr>
          <w:rFonts w:ascii="Times New Roman" w:hAnsi="Times New Roman" w:cs="Times New Roman"/>
          <w:sz w:val="24"/>
          <w:szCs w:val="24"/>
        </w:rPr>
      </w:pPr>
      <w:r>
        <w:rPr>
          <w:rFonts w:ascii="Times New Roman" w:hAnsi="Times New Roman" w:cs="Times New Roman"/>
          <w:sz w:val="24"/>
          <w:szCs w:val="24"/>
        </w:rPr>
        <w:tab/>
        <w:t>Early September (Meeting #1 with Advisory Council)</w:t>
      </w:r>
    </w:p>
    <w:p w:rsidR="00F15CAD" w:rsidRDefault="00F15CAD" w:rsidP="00F15CAD">
      <w:pPr>
        <w:spacing w:after="0"/>
        <w:rPr>
          <w:rFonts w:ascii="Times New Roman" w:hAnsi="Times New Roman" w:cs="Times New Roman"/>
          <w:sz w:val="24"/>
          <w:szCs w:val="24"/>
        </w:rPr>
      </w:pPr>
      <w:r>
        <w:rPr>
          <w:rFonts w:ascii="Times New Roman" w:hAnsi="Times New Roman" w:cs="Times New Roman"/>
          <w:sz w:val="24"/>
          <w:szCs w:val="24"/>
        </w:rPr>
        <w:tab/>
        <w:t xml:space="preserve">Early </w:t>
      </w:r>
      <w:r w:rsidR="00FF48CB">
        <w:rPr>
          <w:rFonts w:ascii="Times New Roman" w:hAnsi="Times New Roman" w:cs="Times New Roman"/>
          <w:sz w:val="24"/>
          <w:szCs w:val="24"/>
        </w:rPr>
        <w:t>October (Me</w:t>
      </w:r>
      <w:r>
        <w:rPr>
          <w:rFonts w:ascii="Times New Roman" w:hAnsi="Times New Roman" w:cs="Times New Roman"/>
          <w:sz w:val="24"/>
          <w:szCs w:val="24"/>
        </w:rPr>
        <w:t>eting #2 with Advisory Council)</w:t>
      </w:r>
    </w:p>
    <w:p w:rsidR="00F15CAD" w:rsidRDefault="00F15CAD" w:rsidP="00F15CAD">
      <w:pPr>
        <w:spacing w:after="0"/>
        <w:rPr>
          <w:rFonts w:ascii="Times New Roman" w:hAnsi="Times New Roman" w:cs="Times New Roman"/>
          <w:sz w:val="24"/>
          <w:szCs w:val="24"/>
        </w:rPr>
      </w:pPr>
      <w:r>
        <w:rPr>
          <w:rFonts w:ascii="Times New Roman" w:hAnsi="Times New Roman" w:cs="Times New Roman"/>
          <w:sz w:val="24"/>
          <w:szCs w:val="24"/>
        </w:rPr>
        <w:tab/>
        <w:t>Early November (Meeting #3 with Advisory Council)</w:t>
      </w:r>
    </w:p>
    <w:p w:rsidR="0005512A" w:rsidRPr="000B71F9" w:rsidRDefault="00F15CAD" w:rsidP="00FF48CB">
      <w:pPr>
        <w:spacing w:after="0"/>
        <w:rPr>
          <w:rFonts w:ascii="Times New Roman" w:hAnsi="Times New Roman" w:cs="Times New Roman"/>
          <w:sz w:val="24"/>
          <w:szCs w:val="24"/>
        </w:rPr>
      </w:pPr>
      <w:r>
        <w:rPr>
          <w:rFonts w:ascii="Times New Roman" w:hAnsi="Times New Roman" w:cs="Times New Roman"/>
          <w:sz w:val="24"/>
          <w:szCs w:val="24"/>
        </w:rPr>
        <w:tab/>
        <w:t>November 15 – Report Due</w:t>
      </w:r>
      <w:r w:rsidR="000B71F9">
        <w:rPr>
          <w:rFonts w:ascii="Times New Roman" w:hAnsi="Times New Roman" w:cs="Times New Roman"/>
          <w:sz w:val="24"/>
          <w:szCs w:val="24"/>
        </w:rPr>
        <w:tab/>
      </w:r>
      <w:bookmarkStart w:id="0" w:name="_GoBack"/>
      <w:bookmarkEnd w:id="0"/>
    </w:p>
    <w:sectPr w:rsidR="0005512A" w:rsidRPr="000B71F9" w:rsidSect="00C274EA">
      <w:headerReference w:type="even" r:id="rId7"/>
      <w:headerReference w:type="default" r:id="rId8"/>
      <w:footerReference w:type="even" r:id="rId9"/>
      <w:footerReference w:type="default" r:id="rId10"/>
      <w:headerReference w:type="first" r:id="rId11"/>
      <w:footerReference w:type="first" r:id="rId12"/>
      <w:pgSz w:w="12240" w:h="15840"/>
      <w:pgMar w:top="1440" w:right="806"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DA7" w:rsidRDefault="00115DA7" w:rsidP="00C82357">
      <w:pPr>
        <w:spacing w:after="0" w:line="240" w:lineRule="auto"/>
      </w:pPr>
      <w:r>
        <w:separator/>
      </w:r>
    </w:p>
  </w:endnote>
  <w:endnote w:type="continuationSeparator" w:id="0">
    <w:p w:rsidR="00115DA7" w:rsidRDefault="00115DA7" w:rsidP="00C8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B3" w:rsidRDefault="00BE5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357" w:rsidRPr="00635899" w:rsidRDefault="00635899">
    <w:pPr>
      <w:pStyle w:val="Footer"/>
      <w:rPr>
        <w:rFonts w:ascii="Times New Roman" w:hAnsi="Times New Roman" w:cs="Times New Roman"/>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B3" w:rsidRDefault="00BE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DA7" w:rsidRDefault="00115DA7" w:rsidP="00C82357">
      <w:pPr>
        <w:spacing w:after="0" w:line="240" w:lineRule="auto"/>
      </w:pPr>
      <w:r>
        <w:separator/>
      </w:r>
    </w:p>
  </w:footnote>
  <w:footnote w:type="continuationSeparator" w:id="0">
    <w:p w:rsidR="00115DA7" w:rsidRDefault="00115DA7" w:rsidP="00C8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B3" w:rsidRDefault="00BE5C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25829" o:spid="_x0000_s10242" type="#_x0000_t136" style="position:absolute;margin-left:0;margin-top:0;width:439.05pt;height:265.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B3" w:rsidRDefault="00BE5C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25830" o:spid="_x0000_s10243" type="#_x0000_t136" style="position:absolute;margin-left:0;margin-top:0;width:439.05pt;height:265.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B3" w:rsidRDefault="00BE5C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25828" o:spid="_x0000_s10241" type="#_x0000_t136" style="position:absolute;margin-left:0;margin-top:0;width:439.05pt;height:265.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6166"/>
    <w:multiLevelType w:val="hybridMultilevel"/>
    <w:tmpl w:val="7740508C"/>
    <w:lvl w:ilvl="0" w:tplc="5A7CD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45308"/>
    <w:multiLevelType w:val="hybridMultilevel"/>
    <w:tmpl w:val="7BCA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CF6BE5"/>
    <w:multiLevelType w:val="hybridMultilevel"/>
    <w:tmpl w:val="303265CE"/>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811CF"/>
    <w:multiLevelType w:val="hybridMultilevel"/>
    <w:tmpl w:val="D6E0C9CA"/>
    <w:lvl w:ilvl="0" w:tplc="8DB2608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218E5"/>
    <w:multiLevelType w:val="hybridMultilevel"/>
    <w:tmpl w:val="5A96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B0770"/>
    <w:multiLevelType w:val="hybridMultilevel"/>
    <w:tmpl w:val="4B86BE5C"/>
    <w:lvl w:ilvl="0" w:tplc="AA609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8622CD"/>
    <w:multiLevelType w:val="hybridMultilevel"/>
    <w:tmpl w:val="52F4C43A"/>
    <w:lvl w:ilvl="0" w:tplc="6A769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6F7226"/>
    <w:multiLevelType w:val="hybridMultilevel"/>
    <w:tmpl w:val="3E20DACC"/>
    <w:lvl w:ilvl="0" w:tplc="E8D037C0">
      <w:start w:val="5"/>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C1162E"/>
    <w:multiLevelType w:val="hybridMultilevel"/>
    <w:tmpl w:val="90E8A702"/>
    <w:lvl w:ilvl="0" w:tplc="B6F68AC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FA051EC"/>
    <w:multiLevelType w:val="hybridMultilevel"/>
    <w:tmpl w:val="DED2E2FA"/>
    <w:lvl w:ilvl="0" w:tplc="83641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20025"/>
    <w:multiLevelType w:val="hybridMultilevel"/>
    <w:tmpl w:val="856C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C1AF3"/>
    <w:multiLevelType w:val="hybridMultilevel"/>
    <w:tmpl w:val="E1147E82"/>
    <w:lvl w:ilvl="0" w:tplc="B54CC7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89436D"/>
    <w:multiLevelType w:val="hybridMultilevel"/>
    <w:tmpl w:val="695C5272"/>
    <w:lvl w:ilvl="0" w:tplc="2A60F9E4">
      <w:start w:val="1"/>
      <w:numFmt w:val="bullet"/>
      <w:lvlText w:val=""/>
      <w:lvlJc w:val="left"/>
      <w:pPr>
        <w:ind w:left="2520" w:hanging="360"/>
      </w:pPr>
      <w:rPr>
        <w:rFonts w:ascii="Symbol" w:hAnsi="Symbol"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D5E7709"/>
    <w:multiLevelType w:val="hybridMultilevel"/>
    <w:tmpl w:val="93D6DE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5571E"/>
    <w:multiLevelType w:val="hybridMultilevel"/>
    <w:tmpl w:val="9462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B7F5E"/>
    <w:multiLevelType w:val="hybridMultilevel"/>
    <w:tmpl w:val="0B86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C0E1B"/>
    <w:multiLevelType w:val="hybridMultilevel"/>
    <w:tmpl w:val="AD9AA1EA"/>
    <w:lvl w:ilvl="0" w:tplc="C7140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E95878"/>
    <w:multiLevelType w:val="hybridMultilevel"/>
    <w:tmpl w:val="CDBAE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833F8"/>
    <w:multiLevelType w:val="hybridMultilevel"/>
    <w:tmpl w:val="C1B27988"/>
    <w:lvl w:ilvl="0" w:tplc="85020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0E5BB0"/>
    <w:multiLevelType w:val="hybridMultilevel"/>
    <w:tmpl w:val="C6CAD5B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51B6A"/>
    <w:multiLevelType w:val="hybridMultilevel"/>
    <w:tmpl w:val="35F4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D238F5"/>
    <w:multiLevelType w:val="hybridMultilevel"/>
    <w:tmpl w:val="39E43272"/>
    <w:lvl w:ilvl="0" w:tplc="AD46C6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E266A36"/>
    <w:multiLevelType w:val="hybridMultilevel"/>
    <w:tmpl w:val="6512D082"/>
    <w:lvl w:ilvl="0" w:tplc="D8D88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267832"/>
    <w:multiLevelType w:val="hybridMultilevel"/>
    <w:tmpl w:val="6AFA696C"/>
    <w:lvl w:ilvl="0" w:tplc="B68ED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5C0B4B"/>
    <w:multiLevelType w:val="hybridMultilevel"/>
    <w:tmpl w:val="B44EC87C"/>
    <w:lvl w:ilvl="0" w:tplc="EECA76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5D785E"/>
    <w:multiLevelType w:val="hybridMultilevel"/>
    <w:tmpl w:val="15D60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B7AC9"/>
    <w:multiLevelType w:val="hybridMultilevel"/>
    <w:tmpl w:val="AB72DDDC"/>
    <w:lvl w:ilvl="0" w:tplc="AE9E6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6B30AB"/>
    <w:multiLevelType w:val="hybridMultilevel"/>
    <w:tmpl w:val="9C24BDFE"/>
    <w:lvl w:ilvl="0" w:tplc="70A4DAF6">
      <w:start w:val="1"/>
      <w:numFmt w:val="decimal"/>
      <w:lvlText w:val="%1."/>
      <w:lvlJc w:val="left"/>
      <w:pPr>
        <w:ind w:left="780" w:hanging="360"/>
      </w:pPr>
      <w:rPr>
        <w:rFonts w:asciiTheme="minorHAnsi" w:eastAsiaTheme="minorHAnsi" w:hAnsiTheme="minorHAnsi" w:cs="Times New Roman"/>
        <w:color w:val="000000" w:themeColor="text1"/>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7D86348"/>
    <w:multiLevelType w:val="hybridMultilevel"/>
    <w:tmpl w:val="34AE8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4126EA"/>
    <w:multiLevelType w:val="hybridMultilevel"/>
    <w:tmpl w:val="0B12ED58"/>
    <w:lvl w:ilvl="0" w:tplc="1916D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402E42"/>
    <w:multiLevelType w:val="hybridMultilevel"/>
    <w:tmpl w:val="A960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7"/>
  </w:num>
  <w:num w:numId="4">
    <w:abstractNumId w:val="29"/>
  </w:num>
  <w:num w:numId="5">
    <w:abstractNumId w:val="7"/>
  </w:num>
  <w:num w:numId="6">
    <w:abstractNumId w:val="28"/>
  </w:num>
  <w:num w:numId="7">
    <w:abstractNumId w:val="1"/>
  </w:num>
  <w:num w:numId="8">
    <w:abstractNumId w:val="30"/>
  </w:num>
  <w:num w:numId="9">
    <w:abstractNumId w:val="10"/>
  </w:num>
  <w:num w:numId="10">
    <w:abstractNumId w:val="13"/>
  </w:num>
  <w:num w:numId="11">
    <w:abstractNumId w:val="23"/>
  </w:num>
  <w:num w:numId="12">
    <w:abstractNumId w:val="5"/>
  </w:num>
  <w:num w:numId="13">
    <w:abstractNumId w:val="24"/>
  </w:num>
  <w:num w:numId="14">
    <w:abstractNumId w:val="9"/>
  </w:num>
  <w:num w:numId="15">
    <w:abstractNumId w:val="21"/>
  </w:num>
  <w:num w:numId="16">
    <w:abstractNumId w:val="11"/>
  </w:num>
  <w:num w:numId="17">
    <w:abstractNumId w:val="22"/>
  </w:num>
  <w:num w:numId="18">
    <w:abstractNumId w:val="14"/>
  </w:num>
  <w:num w:numId="19">
    <w:abstractNumId w:val="17"/>
  </w:num>
  <w:num w:numId="20">
    <w:abstractNumId w:val="26"/>
  </w:num>
  <w:num w:numId="21">
    <w:abstractNumId w:val="0"/>
  </w:num>
  <w:num w:numId="22">
    <w:abstractNumId w:val="18"/>
  </w:num>
  <w:num w:numId="23">
    <w:abstractNumId w:val="6"/>
  </w:num>
  <w:num w:numId="24">
    <w:abstractNumId w:val="4"/>
  </w:num>
  <w:num w:numId="25">
    <w:abstractNumId w:val="2"/>
  </w:num>
  <w:num w:numId="26">
    <w:abstractNumId w:val="20"/>
  </w:num>
  <w:num w:numId="27">
    <w:abstractNumId w:val="3"/>
  </w:num>
  <w:num w:numId="28">
    <w:abstractNumId w:val="8"/>
  </w:num>
  <w:num w:numId="29">
    <w:abstractNumId w:val="19"/>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EF"/>
    <w:rsid w:val="000344D9"/>
    <w:rsid w:val="0005512A"/>
    <w:rsid w:val="000A0717"/>
    <w:rsid w:val="000B71F9"/>
    <w:rsid w:val="000F50BA"/>
    <w:rsid w:val="00115DA7"/>
    <w:rsid w:val="00152A34"/>
    <w:rsid w:val="00152C99"/>
    <w:rsid w:val="001622EC"/>
    <w:rsid w:val="001D5FAA"/>
    <w:rsid w:val="001F5F96"/>
    <w:rsid w:val="00294E29"/>
    <w:rsid w:val="002E09BB"/>
    <w:rsid w:val="002E5DF1"/>
    <w:rsid w:val="003119D6"/>
    <w:rsid w:val="00332014"/>
    <w:rsid w:val="003324D1"/>
    <w:rsid w:val="003E7BCF"/>
    <w:rsid w:val="00524DDB"/>
    <w:rsid w:val="00597421"/>
    <w:rsid w:val="005A2388"/>
    <w:rsid w:val="005F33D2"/>
    <w:rsid w:val="00635899"/>
    <w:rsid w:val="006848EF"/>
    <w:rsid w:val="006C50F8"/>
    <w:rsid w:val="006D6EA3"/>
    <w:rsid w:val="00716436"/>
    <w:rsid w:val="00725868"/>
    <w:rsid w:val="00731247"/>
    <w:rsid w:val="0075369A"/>
    <w:rsid w:val="007B2167"/>
    <w:rsid w:val="00805FA9"/>
    <w:rsid w:val="00835AF9"/>
    <w:rsid w:val="00842E54"/>
    <w:rsid w:val="00856182"/>
    <w:rsid w:val="00875CE2"/>
    <w:rsid w:val="008B3B7B"/>
    <w:rsid w:val="008F7339"/>
    <w:rsid w:val="009078A1"/>
    <w:rsid w:val="009B2B2D"/>
    <w:rsid w:val="009D4DED"/>
    <w:rsid w:val="00A00490"/>
    <w:rsid w:val="00A44914"/>
    <w:rsid w:val="00A47288"/>
    <w:rsid w:val="00AB69F2"/>
    <w:rsid w:val="00AC309D"/>
    <w:rsid w:val="00AC3721"/>
    <w:rsid w:val="00B23930"/>
    <w:rsid w:val="00B36D86"/>
    <w:rsid w:val="00B46AED"/>
    <w:rsid w:val="00BB53D1"/>
    <w:rsid w:val="00BB78B5"/>
    <w:rsid w:val="00BD6184"/>
    <w:rsid w:val="00BE5CB3"/>
    <w:rsid w:val="00BF252B"/>
    <w:rsid w:val="00C20728"/>
    <w:rsid w:val="00C274EA"/>
    <w:rsid w:val="00C6286B"/>
    <w:rsid w:val="00C82357"/>
    <w:rsid w:val="00CD3101"/>
    <w:rsid w:val="00CE1EFF"/>
    <w:rsid w:val="00CF2714"/>
    <w:rsid w:val="00D52B6F"/>
    <w:rsid w:val="00DD16DC"/>
    <w:rsid w:val="00E13E00"/>
    <w:rsid w:val="00E33F19"/>
    <w:rsid w:val="00E400AB"/>
    <w:rsid w:val="00E50DCE"/>
    <w:rsid w:val="00E772B3"/>
    <w:rsid w:val="00E8450E"/>
    <w:rsid w:val="00EF5C9D"/>
    <w:rsid w:val="00F15CAD"/>
    <w:rsid w:val="00F33C95"/>
    <w:rsid w:val="00F34F05"/>
    <w:rsid w:val="00F80AF0"/>
    <w:rsid w:val="00FA0D92"/>
    <w:rsid w:val="00FB1763"/>
    <w:rsid w:val="00FC5920"/>
    <w:rsid w:val="00FF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3D22D633"/>
  <w15:chartTrackingRefBased/>
  <w15:docId w15:val="{534C42B6-938B-4505-B9C6-F788F5D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0F8"/>
    <w:rPr>
      <w:color w:val="0563C1" w:themeColor="hyperlink"/>
      <w:u w:val="single"/>
    </w:rPr>
  </w:style>
  <w:style w:type="character" w:styleId="UnresolvedMention">
    <w:name w:val="Unresolved Mention"/>
    <w:basedOn w:val="DefaultParagraphFont"/>
    <w:uiPriority w:val="99"/>
    <w:semiHidden/>
    <w:unhideWhenUsed/>
    <w:rsid w:val="006C50F8"/>
    <w:rPr>
      <w:color w:val="808080"/>
      <w:shd w:val="clear" w:color="auto" w:fill="E6E6E6"/>
    </w:rPr>
  </w:style>
  <w:style w:type="paragraph" w:customStyle="1" w:styleId="Default">
    <w:name w:val="Default"/>
    <w:rsid w:val="007536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2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357"/>
  </w:style>
  <w:style w:type="paragraph" w:styleId="Footer">
    <w:name w:val="footer"/>
    <w:basedOn w:val="Normal"/>
    <w:link w:val="FooterChar"/>
    <w:uiPriority w:val="99"/>
    <w:unhideWhenUsed/>
    <w:rsid w:val="00C8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57"/>
  </w:style>
  <w:style w:type="character" w:styleId="FollowedHyperlink">
    <w:name w:val="FollowedHyperlink"/>
    <w:basedOn w:val="DefaultParagraphFont"/>
    <w:uiPriority w:val="99"/>
    <w:semiHidden/>
    <w:unhideWhenUsed/>
    <w:rsid w:val="00635899"/>
    <w:rPr>
      <w:color w:val="954F72" w:themeColor="followedHyperlink"/>
      <w:u w:val="single"/>
    </w:rPr>
  </w:style>
  <w:style w:type="paragraph" w:styleId="ListParagraph">
    <w:name w:val="List Paragraph"/>
    <w:basedOn w:val="Normal"/>
    <w:uiPriority w:val="34"/>
    <w:qFormat/>
    <w:rsid w:val="0005512A"/>
    <w:pPr>
      <w:ind w:left="720"/>
      <w:contextualSpacing/>
    </w:pPr>
  </w:style>
  <w:style w:type="paragraph" w:styleId="FootnoteText">
    <w:name w:val="footnote text"/>
    <w:basedOn w:val="Normal"/>
    <w:link w:val="FootnoteTextChar"/>
    <w:uiPriority w:val="99"/>
    <w:unhideWhenUsed/>
    <w:rsid w:val="0005512A"/>
    <w:pPr>
      <w:spacing w:after="0" w:line="240" w:lineRule="auto"/>
    </w:pPr>
    <w:rPr>
      <w:sz w:val="20"/>
      <w:szCs w:val="20"/>
    </w:rPr>
  </w:style>
  <w:style w:type="character" w:customStyle="1" w:styleId="FootnoteTextChar">
    <w:name w:val="Footnote Text Char"/>
    <w:basedOn w:val="DefaultParagraphFont"/>
    <w:link w:val="FootnoteText"/>
    <w:uiPriority w:val="99"/>
    <w:rsid w:val="0005512A"/>
    <w:rPr>
      <w:sz w:val="20"/>
      <w:szCs w:val="20"/>
    </w:rPr>
  </w:style>
  <w:style w:type="character" w:styleId="FootnoteReference">
    <w:name w:val="footnote reference"/>
    <w:basedOn w:val="DefaultParagraphFont"/>
    <w:uiPriority w:val="99"/>
    <w:unhideWhenUsed/>
    <w:rsid w:val="0005512A"/>
    <w:rPr>
      <w:vertAlign w:val="superscript"/>
    </w:rPr>
  </w:style>
  <w:style w:type="paragraph" w:styleId="BodyText">
    <w:name w:val="Body Text"/>
    <w:basedOn w:val="Normal"/>
    <w:link w:val="BodyTextChar"/>
    <w:uiPriority w:val="1"/>
    <w:qFormat/>
    <w:rsid w:val="0005512A"/>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5512A"/>
    <w:rPr>
      <w:rFonts w:ascii="Times New Roman" w:eastAsia="Times New Roman" w:hAnsi="Times New Roman"/>
      <w:sz w:val="24"/>
      <w:szCs w:val="24"/>
    </w:rPr>
  </w:style>
  <w:style w:type="table" w:styleId="TableGrid">
    <w:name w:val="Table Grid"/>
    <w:basedOn w:val="TableNormal"/>
    <w:uiPriority w:val="39"/>
    <w:rsid w:val="0005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512A"/>
    <w:pPr>
      <w:spacing w:after="0" w:line="240" w:lineRule="auto"/>
    </w:pPr>
  </w:style>
  <w:style w:type="paragraph" w:styleId="BalloonText">
    <w:name w:val="Balloon Text"/>
    <w:basedOn w:val="Normal"/>
    <w:link w:val="BalloonTextChar"/>
    <w:uiPriority w:val="99"/>
    <w:semiHidden/>
    <w:unhideWhenUsed/>
    <w:rsid w:val="00EF5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Rebecca</dc:creator>
  <cp:keywords/>
  <dc:description/>
  <cp:lastModifiedBy>Ellis, Rebecca</cp:lastModifiedBy>
  <cp:revision>15</cp:revision>
  <cp:lastPrinted>2017-07-12T13:00:00Z</cp:lastPrinted>
  <dcterms:created xsi:type="dcterms:W3CDTF">2017-08-05T11:11:00Z</dcterms:created>
  <dcterms:modified xsi:type="dcterms:W3CDTF">2017-08-05T19:49:00Z</dcterms:modified>
</cp:coreProperties>
</file>