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57F0" w14:textId="77777777" w:rsidR="0033654B" w:rsidRPr="00D64579" w:rsidRDefault="00000000">
      <w:pPr>
        <w:pStyle w:val="BodyText"/>
        <w:ind w:left="100"/>
        <w:rPr>
          <w:rFonts w:ascii="Times New Roman"/>
          <w:sz w:val="18"/>
          <w:szCs w:val="20"/>
        </w:rPr>
      </w:pPr>
      <w:r w:rsidRPr="00D64579">
        <w:rPr>
          <w:noProof/>
          <w:sz w:val="18"/>
          <w:szCs w:val="20"/>
          <w:lang w:bidi="es-US"/>
        </w:rPr>
        <w:drawing>
          <wp:inline distT="0" distB="0" distL="0" distR="0" wp14:anchorId="18F1D03B" wp14:editId="0FCE354A">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17361" cy="585787"/>
                    </a:xfrm>
                    <a:prstGeom prst="rect">
                      <a:avLst/>
                    </a:prstGeom>
                  </pic:spPr>
                </pic:pic>
              </a:graphicData>
            </a:graphic>
          </wp:inline>
        </w:drawing>
      </w:r>
    </w:p>
    <w:p w14:paraId="60397098" w14:textId="77777777" w:rsidR="0033654B" w:rsidRPr="00D64579" w:rsidRDefault="0033654B">
      <w:pPr>
        <w:pStyle w:val="BodyText"/>
        <w:spacing w:before="7"/>
        <w:ind w:left="0"/>
        <w:rPr>
          <w:rFonts w:ascii="Times New Roman"/>
          <w:sz w:val="12"/>
          <w:szCs w:val="20"/>
        </w:rPr>
      </w:pPr>
    </w:p>
    <w:p w14:paraId="16A17254" w14:textId="77777777" w:rsidR="0033654B" w:rsidRPr="00D64579" w:rsidRDefault="00000000">
      <w:pPr>
        <w:pStyle w:val="Heading1"/>
        <w:spacing w:before="93"/>
        <w:rPr>
          <w:sz w:val="20"/>
          <w:szCs w:val="20"/>
        </w:rPr>
      </w:pPr>
      <w:r w:rsidRPr="00D64579">
        <w:rPr>
          <w:sz w:val="20"/>
          <w:szCs w:val="20"/>
          <w:lang w:bidi="es-US"/>
        </w:rPr>
        <w:t>COMUNICADO DE PRENSA</w:t>
      </w:r>
    </w:p>
    <w:p w14:paraId="4AABC4B3" w14:textId="77777777" w:rsidR="0033654B" w:rsidRPr="00D64579" w:rsidRDefault="00000000">
      <w:pPr>
        <w:pStyle w:val="BodyText"/>
        <w:spacing w:before="2"/>
        <w:ind w:left="100"/>
        <w:rPr>
          <w:sz w:val="20"/>
          <w:szCs w:val="20"/>
        </w:rPr>
      </w:pPr>
      <w:r w:rsidRPr="00D64579">
        <w:rPr>
          <w:sz w:val="20"/>
          <w:szCs w:val="20"/>
          <w:lang w:bidi="es-US"/>
        </w:rPr>
        <w:t>Para su publicación inmediata: 14 de julio de 2023</w:t>
      </w:r>
    </w:p>
    <w:p w14:paraId="3AA5EC1B" w14:textId="77777777" w:rsidR="0033654B" w:rsidRPr="00D64579" w:rsidRDefault="0033654B">
      <w:pPr>
        <w:pStyle w:val="BodyText"/>
        <w:spacing w:before="11"/>
        <w:ind w:left="0"/>
        <w:rPr>
          <w:sz w:val="19"/>
          <w:szCs w:val="20"/>
        </w:rPr>
      </w:pPr>
    </w:p>
    <w:p w14:paraId="0A5FA2ED" w14:textId="77777777" w:rsidR="0033654B" w:rsidRPr="00D64579" w:rsidRDefault="00000000">
      <w:pPr>
        <w:pStyle w:val="Heading1"/>
        <w:rPr>
          <w:sz w:val="20"/>
          <w:szCs w:val="20"/>
        </w:rPr>
      </w:pPr>
      <w:r w:rsidRPr="00D64579">
        <w:rPr>
          <w:sz w:val="20"/>
          <w:szCs w:val="20"/>
          <w:lang w:bidi="es-US"/>
        </w:rPr>
        <w:t>Contacto con los medios:</w:t>
      </w:r>
    </w:p>
    <w:p w14:paraId="11FA0CC8" w14:textId="77777777" w:rsidR="0033654B" w:rsidRPr="00D64579" w:rsidRDefault="00000000" w:rsidP="00D64579">
      <w:pPr>
        <w:pStyle w:val="BodyText"/>
        <w:spacing w:before="2"/>
        <w:ind w:left="100" w:right="3748"/>
        <w:rPr>
          <w:sz w:val="20"/>
          <w:szCs w:val="20"/>
        </w:rPr>
      </w:pPr>
      <w:r w:rsidRPr="00D64579">
        <w:rPr>
          <w:sz w:val="20"/>
          <w:szCs w:val="20"/>
          <w:lang w:bidi="es-US"/>
        </w:rPr>
        <w:t>Josh Kelly, Gerente del Programa de Residuos Sólidos</w:t>
      </w:r>
      <w:r w:rsidRPr="00D64579">
        <w:rPr>
          <w:sz w:val="20"/>
          <w:szCs w:val="20"/>
          <w:lang w:bidi="es-US"/>
        </w:rPr>
        <w:br/>
        <w:t xml:space="preserve">Departamento de Conservación Medioambiental </w:t>
      </w:r>
      <w:r w:rsidRPr="00D64579">
        <w:rPr>
          <w:sz w:val="20"/>
          <w:szCs w:val="20"/>
          <w:lang w:bidi="es-US"/>
        </w:rPr>
        <w:br/>
        <w:t xml:space="preserve">802-522-5897, </w:t>
      </w:r>
      <w:hyperlink r:id="rId9">
        <w:r w:rsidRPr="00D64579">
          <w:rPr>
            <w:color w:val="0462C1"/>
            <w:sz w:val="20"/>
            <w:szCs w:val="20"/>
            <w:u w:val="single" w:color="0462C1"/>
            <w:lang w:bidi="es-US"/>
          </w:rPr>
          <w:t>Josh.Kelly@vermont.gov</w:t>
        </w:r>
      </w:hyperlink>
    </w:p>
    <w:p w14:paraId="40C90E5A" w14:textId="77777777" w:rsidR="0033654B" w:rsidRPr="00D64579" w:rsidRDefault="0033654B">
      <w:pPr>
        <w:pStyle w:val="BodyText"/>
        <w:spacing w:before="7"/>
        <w:ind w:left="0"/>
        <w:rPr>
          <w:sz w:val="23"/>
          <w:szCs w:val="20"/>
        </w:rPr>
      </w:pPr>
    </w:p>
    <w:p w14:paraId="7C386749" w14:textId="77777777" w:rsidR="0033654B" w:rsidRPr="00D64579" w:rsidRDefault="00000000" w:rsidP="00D64579">
      <w:pPr>
        <w:pStyle w:val="Title"/>
        <w:ind w:left="1985" w:right="2189"/>
        <w:rPr>
          <w:sz w:val="28"/>
          <w:szCs w:val="28"/>
        </w:rPr>
      </w:pPr>
      <w:r w:rsidRPr="00D64579">
        <w:rPr>
          <w:sz w:val="28"/>
          <w:szCs w:val="28"/>
          <w:lang w:bidi="es-US"/>
        </w:rPr>
        <w:t>Limpieza segura de escombros de inundaciones</w:t>
      </w:r>
    </w:p>
    <w:p w14:paraId="1ADF5E7F" w14:textId="77777777" w:rsidR="0033654B" w:rsidRPr="00D64579" w:rsidRDefault="00000000">
      <w:pPr>
        <w:pStyle w:val="BodyText"/>
        <w:spacing w:before="299"/>
        <w:ind w:left="100" w:right="109"/>
        <w:rPr>
          <w:sz w:val="20"/>
          <w:szCs w:val="20"/>
        </w:rPr>
      </w:pPr>
      <w:r w:rsidRPr="00D64579">
        <w:rPr>
          <w:i/>
          <w:sz w:val="20"/>
          <w:szCs w:val="20"/>
          <w:lang w:bidi="es-US"/>
        </w:rPr>
        <w:t xml:space="preserve">Montpelier, Vt. </w:t>
      </w:r>
      <w:r w:rsidRPr="00D64579">
        <w:rPr>
          <w:sz w:val="20"/>
          <w:szCs w:val="20"/>
          <w:lang w:bidi="es-US"/>
        </w:rPr>
        <w:t>– Recuperarse de la inundación de esta semana será todo un desafío para muchos habitantes de Vermont. Otra ardua tarea será limpiar y desechar los artículos dañados por las inundaciones. Desafortunadamente, junto a las pertenencias dañadas de su hogar o negocio, se esconden elementos peligrosos, tal como pintura, productos químicos, aceite, gas, pesticidas, limpiadores cáusticos, entre otros materiales.</w:t>
      </w:r>
    </w:p>
    <w:p w14:paraId="0638F519" w14:textId="77777777" w:rsidR="0033654B" w:rsidRPr="00D64579" w:rsidRDefault="0033654B">
      <w:pPr>
        <w:pStyle w:val="BodyText"/>
        <w:spacing w:before="9"/>
        <w:ind w:left="0"/>
        <w:rPr>
          <w:sz w:val="19"/>
          <w:szCs w:val="20"/>
        </w:rPr>
      </w:pPr>
    </w:p>
    <w:p w14:paraId="521F7415" w14:textId="77777777" w:rsidR="0033654B" w:rsidRPr="00D64579" w:rsidRDefault="00000000">
      <w:pPr>
        <w:pStyle w:val="BodyText"/>
        <w:ind w:left="100"/>
        <w:rPr>
          <w:sz w:val="20"/>
          <w:szCs w:val="20"/>
        </w:rPr>
      </w:pPr>
      <w:r w:rsidRPr="00D64579">
        <w:rPr>
          <w:sz w:val="20"/>
          <w:szCs w:val="20"/>
          <w:lang w:bidi="es-US"/>
        </w:rPr>
        <w:t>Para su propia protección y para resguardar a su equipo de limpieza, recuerde lo siguiente:</w:t>
      </w:r>
    </w:p>
    <w:p w14:paraId="1BB525B8" w14:textId="77777777" w:rsidR="0033654B" w:rsidRPr="00D64579" w:rsidRDefault="0033654B">
      <w:pPr>
        <w:pStyle w:val="BodyText"/>
        <w:spacing w:before="11"/>
        <w:ind w:left="0"/>
        <w:rPr>
          <w:sz w:val="19"/>
          <w:szCs w:val="20"/>
        </w:rPr>
      </w:pPr>
    </w:p>
    <w:p w14:paraId="0F74C064" w14:textId="77777777" w:rsidR="0033654B" w:rsidRPr="00D64579" w:rsidRDefault="00000000">
      <w:pPr>
        <w:pStyle w:val="ListParagraph"/>
        <w:numPr>
          <w:ilvl w:val="0"/>
          <w:numId w:val="1"/>
        </w:numPr>
        <w:tabs>
          <w:tab w:val="left" w:pos="820"/>
          <w:tab w:val="left" w:pos="821"/>
        </w:tabs>
        <w:spacing w:line="240" w:lineRule="auto"/>
        <w:ind w:hanging="361"/>
        <w:rPr>
          <w:sz w:val="20"/>
          <w:szCs w:val="20"/>
        </w:rPr>
      </w:pPr>
      <w:r w:rsidRPr="00D64579">
        <w:rPr>
          <w:sz w:val="20"/>
          <w:szCs w:val="20"/>
          <w:lang w:bidi="es-US"/>
        </w:rPr>
        <w:t>Use guantes y demás equipos de protección.</w:t>
      </w:r>
    </w:p>
    <w:p w14:paraId="0D0566D1" w14:textId="77777777" w:rsidR="0033654B" w:rsidRPr="00D64579" w:rsidRDefault="00000000">
      <w:pPr>
        <w:pStyle w:val="ListParagraph"/>
        <w:numPr>
          <w:ilvl w:val="0"/>
          <w:numId w:val="1"/>
        </w:numPr>
        <w:tabs>
          <w:tab w:val="left" w:pos="820"/>
          <w:tab w:val="left" w:pos="821"/>
        </w:tabs>
        <w:spacing w:before="1"/>
        <w:ind w:hanging="361"/>
        <w:rPr>
          <w:sz w:val="20"/>
          <w:szCs w:val="20"/>
        </w:rPr>
      </w:pPr>
      <w:r w:rsidRPr="00D64579">
        <w:rPr>
          <w:sz w:val="20"/>
          <w:szCs w:val="20"/>
          <w:lang w:bidi="es-US"/>
        </w:rPr>
        <w:t>Evite las aguas de inundación peligrosas y contaminadas.</w:t>
      </w:r>
    </w:p>
    <w:p w14:paraId="23461307" w14:textId="77777777" w:rsidR="0033654B" w:rsidRPr="00D64579" w:rsidRDefault="00000000">
      <w:pPr>
        <w:pStyle w:val="ListParagraph"/>
        <w:numPr>
          <w:ilvl w:val="0"/>
          <w:numId w:val="1"/>
        </w:numPr>
        <w:tabs>
          <w:tab w:val="left" w:pos="820"/>
          <w:tab w:val="left" w:pos="821"/>
        </w:tabs>
        <w:ind w:hanging="361"/>
        <w:rPr>
          <w:sz w:val="20"/>
          <w:szCs w:val="20"/>
        </w:rPr>
      </w:pPr>
      <w:r w:rsidRPr="00D64579">
        <w:rPr>
          <w:sz w:val="20"/>
          <w:szCs w:val="20"/>
          <w:lang w:bidi="es-US"/>
        </w:rPr>
        <w:t>Tome descansos frecuentes y solicite ayuda.</w:t>
      </w:r>
    </w:p>
    <w:p w14:paraId="5254C8BC" w14:textId="77777777" w:rsidR="0033654B" w:rsidRPr="00D64579" w:rsidRDefault="0033654B">
      <w:pPr>
        <w:pStyle w:val="BodyText"/>
        <w:spacing w:before="4"/>
        <w:ind w:left="0"/>
        <w:rPr>
          <w:sz w:val="20"/>
          <w:szCs w:val="20"/>
        </w:rPr>
      </w:pPr>
    </w:p>
    <w:p w14:paraId="19A5C24B" w14:textId="77777777" w:rsidR="0033654B" w:rsidRPr="00D64579" w:rsidRDefault="00000000">
      <w:pPr>
        <w:pStyle w:val="BodyText"/>
        <w:spacing w:line="237" w:lineRule="auto"/>
        <w:ind w:left="100" w:right="599"/>
        <w:rPr>
          <w:sz w:val="20"/>
          <w:szCs w:val="20"/>
        </w:rPr>
      </w:pPr>
      <w:r w:rsidRPr="00D64579">
        <w:rPr>
          <w:sz w:val="20"/>
          <w:szCs w:val="20"/>
          <w:lang w:bidi="es-US"/>
        </w:rPr>
        <w:t>Para proteger a los trabajadores de desechos sólidos y al medio ambiente, es fundamental que los residentes, las empresas, los contratistas y los equipos de limpieza recuerden hacer lo siguiente:</w:t>
      </w:r>
    </w:p>
    <w:p w14:paraId="071B839A" w14:textId="77777777" w:rsidR="0033654B" w:rsidRPr="00D64579" w:rsidRDefault="0033654B">
      <w:pPr>
        <w:pStyle w:val="BodyText"/>
        <w:ind w:left="0"/>
        <w:rPr>
          <w:sz w:val="20"/>
          <w:szCs w:val="20"/>
        </w:rPr>
      </w:pPr>
    </w:p>
    <w:p w14:paraId="459461F1" w14:textId="77777777" w:rsidR="0033654B" w:rsidRPr="00D64579" w:rsidRDefault="00000000">
      <w:pPr>
        <w:pStyle w:val="ListParagraph"/>
        <w:numPr>
          <w:ilvl w:val="0"/>
          <w:numId w:val="1"/>
        </w:numPr>
        <w:tabs>
          <w:tab w:val="left" w:pos="820"/>
          <w:tab w:val="left" w:pos="821"/>
        </w:tabs>
        <w:spacing w:line="240" w:lineRule="auto"/>
        <w:ind w:hanging="361"/>
        <w:rPr>
          <w:sz w:val="20"/>
          <w:szCs w:val="20"/>
        </w:rPr>
      </w:pPr>
      <w:r w:rsidRPr="00D64579">
        <w:rPr>
          <w:sz w:val="20"/>
          <w:szCs w:val="20"/>
          <w:lang w:bidi="es-US"/>
        </w:rPr>
        <w:t>Separar los artículos peligrosos de la basura (consulte la lista más adelante).</w:t>
      </w:r>
    </w:p>
    <w:p w14:paraId="687E40D3" w14:textId="77777777" w:rsidR="0033654B" w:rsidRPr="00D64579" w:rsidRDefault="00000000">
      <w:pPr>
        <w:pStyle w:val="ListParagraph"/>
        <w:numPr>
          <w:ilvl w:val="0"/>
          <w:numId w:val="1"/>
        </w:numPr>
        <w:tabs>
          <w:tab w:val="left" w:pos="820"/>
          <w:tab w:val="left" w:pos="821"/>
        </w:tabs>
        <w:spacing w:before="3" w:line="237" w:lineRule="auto"/>
        <w:ind w:right="160"/>
        <w:rPr>
          <w:sz w:val="20"/>
          <w:szCs w:val="20"/>
        </w:rPr>
      </w:pPr>
      <w:r w:rsidRPr="00D64579">
        <w:rPr>
          <w:sz w:val="20"/>
          <w:szCs w:val="20"/>
          <w:lang w:bidi="es-US"/>
        </w:rPr>
        <w:t xml:space="preserve">Comunicarse con su Distrito de Residuos Sólidos o municipio en </w:t>
      </w:r>
      <w:hyperlink r:id="rId10">
        <w:r w:rsidRPr="00D64579">
          <w:rPr>
            <w:color w:val="0462C1"/>
            <w:sz w:val="20"/>
            <w:szCs w:val="20"/>
            <w:u w:val="single" w:color="0462C1"/>
            <w:lang w:bidi="es-US"/>
          </w:rPr>
          <w:t>www.802recycles.com</w:t>
        </w:r>
        <w:r w:rsidRPr="00D64579">
          <w:rPr>
            <w:color w:val="0462C1"/>
            <w:sz w:val="20"/>
            <w:szCs w:val="20"/>
            <w:lang w:bidi="es-US"/>
          </w:rPr>
          <w:t xml:space="preserve"> </w:t>
        </w:r>
      </w:hyperlink>
      <w:r w:rsidRPr="00D64579">
        <w:rPr>
          <w:sz w:val="20"/>
          <w:szCs w:val="20"/>
          <w:lang w:bidi="es-US"/>
        </w:rPr>
        <w:t xml:space="preserve">para obtener información sobre los </w:t>
      </w:r>
      <w:hyperlink r:id="rId11">
        <w:r w:rsidRPr="00D64579">
          <w:rPr>
            <w:color w:val="0462C1"/>
            <w:sz w:val="20"/>
            <w:szCs w:val="20"/>
            <w:u w:val="single" w:color="0462C1"/>
            <w:lang w:bidi="es-US"/>
          </w:rPr>
          <w:t>servicios de desechos domésticos peligrosos</w:t>
        </w:r>
      </w:hyperlink>
      <w:r w:rsidRPr="00D64579">
        <w:rPr>
          <w:color w:val="0462C1"/>
          <w:sz w:val="20"/>
          <w:szCs w:val="20"/>
          <w:u w:val="single" w:color="0462C1"/>
          <w:lang w:bidi="es-US"/>
        </w:rPr>
        <w:t>.</w:t>
      </w:r>
      <w:r w:rsidRPr="00D64579">
        <w:rPr>
          <w:sz w:val="20"/>
          <w:szCs w:val="20"/>
          <w:lang w:bidi="es-US"/>
        </w:rPr>
        <w:t xml:space="preserve"> Los electrodomésticos, electrónicos, baterías y neumáticos dañados por las inundaciones pueden llevarse a la mayoría de las </w:t>
      </w:r>
      <w:hyperlink r:id="rId12">
        <w:r w:rsidRPr="00D64579">
          <w:rPr>
            <w:color w:val="0462C1"/>
            <w:sz w:val="20"/>
            <w:szCs w:val="20"/>
            <w:u w:val="single"/>
            <w:lang w:bidi="es-US"/>
          </w:rPr>
          <w:t>estaciones locales de transferencia</w:t>
        </w:r>
      </w:hyperlink>
      <w:r w:rsidRPr="00D64579">
        <w:rPr>
          <w:sz w:val="20"/>
          <w:szCs w:val="20"/>
          <w:lang w:bidi="es-US"/>
        </w:rPr>
        <w:t xml:space="preserve"> para su eliminación y reciclaje seguros.</w:t>
      </w:r>
    </w:p>
    <w:p w14:paraId="4E89DC88" w14:textId="168E9E04" w:rsidR="0033654B" w:rsidRPr="00D64579" w:rsidRDefault="0033654B">
      <w:pPr>
        <w:pStyle w:val="BodyText"/>
        <w:spacing w:line="20" w:lineRule="exact"/>
        <w:ind w:left="4042"/>
        <w:rPr>
          <w:sz w:val="8"/>
          <w:szCs w:val="20"/>
        </w:rPr>
      </w:pPr>
    </w:p>
    <w:p w14:paraId="19DE2D3E" w14:textId="77777777" w:rsidR="0033654B" w:rsidRPr="00D64579" w:rsidRDefault="00000000">
      <w:pPr>
        <w:pStyle w:val="ListParagraph"/>
        <w:numPr>
          <w:ilvl w:val="0"/>
          <w:numId w:val="1"/>
        </w:numPr>
        <w:tabs>
          <w:tab w:val="left" w:pos="820"/>
          <w:tab w:val="left" w:pos="821"/>
        </w:tabs>
        <w:spacing w:line="252" w:lineRule="exact"/>
        <w:ind w:hanging="361"/>
        <w:rPr>
          <w:sz w:val="20"/>
          <w:szCs w:val="20"/>
        </w:rPr>
      </w:pPr>
      <w:r w:rsidRPr="00D64579">
        <w:rPr>
          <w:sz w:val="20"/>
          <w:szCs w:val="20"/>
          <w:lang w:bidi="es-US"/>
        </w:rPr>
        <w:t>Evitar arrojar o derramar materiales peligrosos en el suelo o en el agua.</w:t>
      </w:r>
    </w:p>
    <w:p w14:paraId="7B7A6336" w14:textId="77777777" w:rsidR="0033654B" w:rsidRPr="00D64579" w:rsidRDefault="00000000">
      <w:pPr>
        <w:pStyle w:val="ListParagraph"/>
        <w:numPr>
          <w:ilvl w:val="0"/>
          <w:numId w:val="1"/>
        </w:numPr>
        <w:tabs>
          <w:tab w:val="left" w:pos="820"/>
          <w:tab w:val="left" w:pos="821"/>
        </w:tabs>
        <w:ind w:hanging="361"/>
        <w:rPr>
          <w:sz w:val="20"/>
          <w:szCs w:val="20"/>
        </w:rPr>
      </w:pPr>
      <w:r w:rsidRPr="00D64579">
        <w:rPr>
          <w:sz w:val="20"/>
          <w:szCs w:val="20"/>
          <w:lang w:bidi="es-US"/>
        </w:rPr>
        <w:t>Almacenar de forma segura los artículos peligrosos hasta que puedan desecharse correctamente.</w:t>
      </w:r>
    </w:p>
    <w:p w14:paraId="213CF798" w14:textId="77777777" w:rsidR="0033654B" w:rsidRPr="00D64579" w:rsidRDefault="0033654B">
      <w:pPr>
        <w:pStyle w:val="BodyText"/>
        <w:spacing w:before="2"/>
        <w:ind w:left="0"/>
        <w:rPr>
          <w:sz w:val="20"/>
          <w:szCs w:val="20"/>
        </w:rPr>
      </w:pPr>
    </w:p>
    <w:p w14:paraId="3AF34821" w14:textId="77777777" w:rsidR="0033654B" w:rsidRPr="00D64579" w:rsidRDefault="00000000">
      <w:pPr>
        <w:pStyle w:val="Heading1"/>
        <w:spacing w:line="252" w:lineRule="exact"/>
        <w:rPr>
          <w:sz w:val="20"/>
          <w:szCs w:val="20"/>
        </w:rPr>
      </w:pPr>
      <w:r w:rsidRPr="00D64579">
        <w:rPr>
          <w:sz w:val="20"/>
          <w:szCs w:val="20"/>
          <w:lang w:bidi="es-US"/>
        </w:rPr>
        <w:t>Mantenga estos artículos separados de la basura:</w:t>
      </w:r>
    </w:p>
    <w:p w14:paraId="2222DF86" w14:textId="77777777" w:rsidR="0033654B" w:rsidRPr="00D64579" w:rsidRDefault="00000000">
      <w:pPr>
        <w:pStyle w:val="ListParagraph"/>
        <w:numPr>
          <w:ilvl w:val="0"/>
          <w:numId w:val="1"/>
        </w:numPr>
        <w:tabs>
          <w:tab w:val="left" w:pos="820"/>
          <w:tab w:val="left" w:pos="821"/>
        </w:tabs>
        <w:spacing w:line="240" w:lineRule="auto"/>
        <w:ind w:right="292"/>
        <w:rPr>
          <w:sz w:val="20"/>
          <w:szCs w:val="20"/>
        </w:rPr>
      </w:pPr>
      <w:r w:rsidRPr="00D64579">
        <w:rPr>
          <w:sz w:val="20"/>
          <w:szCs w:val="20"/>
          <w:lang w:bidi="es-US"/>
        </w:rPr>
        <w:t>Residuos peligrosos, tales como tóxicos, pesticidas, explosivos, gasolina, aceite, productos químicos para piscinas, ácidos, limpiadores de desagües, fuegos artificiales, bengalas, municiones y “objetos punzocortantes” sin protección</w:t>
      </w:r>
    </w:p>
    <w:p w14:paraId="2EE5E0BC" w14:textId="77777777" w:rsidR="0033654B" w:rsidRPr="00D64579" w:rsidRDefault="00000000">
      <w:pPr>
        <w:pStyle w:val="ListParagraph"/>
        <w:numPr>
          <w:ilvl w:val="0"/>
          <w:numId w:val="1"/>
        </w:numPr>
        <w:tabs>
          <w:tab w:val="left" w:pos="820"/>
          <w:tab w:val="left" w:pos="821"/>
        </w:tabs>
        <w:ind w:hanging="361"/>
        <w:rPr>
          <w:sz w:val="20"/>
          <w:szCs w:val="20"/>
        </w:rPr>
      </w:pPr>
      <w:r w:rsidRPr="00D64579">
        <w:rPr>
          <w:sz w:val="20"/>
          <w:szCs w:val="20"/>
          <w:lang w:bidi="es-US"/>
        </w:rPr>
        <w:t>Electrodomésticos, tales como refrigeradores, congeladores, acondicionadores de aire, lavadoras, secadoras y chatarra</w:t>
      </w:r>
    </w:p>
    <w:p w14:paraId="43EB69F5" w14:textId="77777777" w:rsidR="0033654B" w:rsidRPr="00D64579" w:rsidRDefault="00000000">
      <w:pPr>
        <w:pStyle w:val="ListParagraph"/>
        <w:numPr>
          <w:ilvl w:val="0"/>
          <w:numId w:val="1"/>
        </w:numPr>
        <w:tabs>
          <w:tab w:val="left" w:pos="820"/>
          <w:tab w:val="left" w:pos="821"/>
        </w:tabs>
        <w:ind w:hanging="361"/>
        <w:rPr>
          <w:sz w:val="20"/>
          <w:szCs w:val="20"/>
        </w:rPr>
      </w:pPr>
      <w:r w:rsidRPr="00D64579">
        <w:rPr>
          <w:sz w:val="20"/>
          <w:szCs w:val="20"/>
          <w:lang w:bidi="es-US"/>
        </w:rPr>
        <w:t>Productos de mercurio, tales como bombillas fluorescentes, termostatos y termómetros</w:t>
      </w:r>
    </w:p>
    <w:p w14:paraId="394CB7CB" w14:textId="77777777" w:rsidR="0033654B" w:rsidRPr="00D64579" w:rsidRDefault="00000000">
      <w:pPr>
        <w:pStyle w:val="ListParagraph"/>
        <w:numPr>
          <w:ilvl w:val="0"/>
          <w:numId w:val="1"/>
        </w:numPr>
        <w:tabs>
          <w:tab w:val="left" w:pos="820"/>
          <w:tab w:val="left" w:pos="821"/>
        </w:tabs>
        <w:ind w:hanging="361"/>
        <w:rPr>
          <w:sz w:val="20"/>
          <w:szCs w:val="20"/>
        </w:rPr>
      </w:pPr>
      <w:r w:rsidRPr="00D64579">
        <w:rPr>
          <w:sz w:val="20"/>
          <w:szCs w:val="20"/>
          <w:lang w:bidi="es-US"/>
        </w:rPr>
        <w:t>Residuos peligrosos</w:t>
      </w:r>
    </w:p>
    <w:p w14:paraId="4F33ADC7" w14:textId="77777777" w:rsidR="0033654B" w:rsidRPr="00D64579" w:rsidRDefault="00000000">
      <w:pPr>
        <w:pStyle w:val="ListParagraph"/>
        <w:numPr>
          <w:ilvl w:val="0"/>
          <w:numId w:val="1"/>
        </w:numPr>
        <w:tabs>
          <w:tab w:val="left" w:pos="820"/>
          <w:tab w:val="left" w:pos="821"/>
        </w:tabs>
        <w:ind w:hanging="361"/>
        <w:rPr>
          <w:sz w:val="20"/>
          <w:szCs w:val="20"/>
        </w:rPr>
      </w:pPr>
      <w:r w:rsidRPr="00D64579">
        <w:rPr>
          <w:sz w:val="20"/>
          <w:szCs w:val="20"/>
          <w:lang w:bidi="es-US"/>
        </w:rPr>
        <w:t>Aceite, limpiador de frenos y otros productos tóxicos para automóviles</w:t>
      </w:r>
    </w:p>
    <w:p w14:paraId="0C9E8CA1" w14:textId="77777777" w:rsidR="0033654B" w:rsidRPr="00D64579" w:rsidRDefault="00000000">
      <w:pPr>
        <w:pStyle w:val="ListParagraph"/>
        <w:numPr>
          <w:ilvl w:val="0"/>
          <w:numId w:val="1"/>
        </w:numPr>
        <w:tabs>
          <w:tab w:val="left" w:pos="820"/>
          <w:tab w:val="left" w:pos="821"/>
        </w:tabs>
        <w:ind w:hanging="361"/>
        <w:rPr>
          <w:sz w:val="20"/>
          <w:szCs w:val="20"/>
        </w:rPr>
      </w:pPr>
      <w:r w:rsidRPr="00D64579">
        <w:rPr>
          <w:sz w:val="20"/>
          <w:szCs w:val="20"/>
          <w:lang w:bidi="es-US"/>
        </w:rPr>
        <w:t>Pintura, tinte, barniz, diluyente/decapante de pintura</w:t>
      </w:r>
    </w:p>
    <w:p w14:paraId="3985AE17" w14:textId="77777777" w:rsidR="0033654B" w:rsidRPr="00D64579" w:rsidRDefault="00000000">
      <w:pPr>
        <w:pStyle w:val="ListParagraph"/>
        <w:numPr>
          <w:ilvl w:val="0"/>
          <w:numId w:val="1"/>
        </w:numPr>
        <w:tabs>
          <w:tab w:val="left" w:pos="820"/>
          <w:tab w:val="left" w:pos="821"/>
        </w:tabs>
        <w:spacing w:before="1" w:line="240" w:lineRule="auto"/>
        <w:ind w:hanging="361"/>
        <w:rPr>
          <w:sz w:val="20"/>
          <w:szCs w:val="20"/>
        </w:rPr>
      </w:pPr>
      <w:r w:rsidRPr="00D64579">
        <w:rPr>
          <w:sz w:val="20"/>
          <w:szCs w:val="20"/>
          <w:lang w:bidi="es-US"/>
        </w:rPr>
        <w:t>Cilindros de propano y otros cilindros de gas</w:t>
      </w:r>
    </w:p>
    <w:p w14:paraId="58748BA2" w14:textId="77777777" w:rsidR="0033654B" w:rsidRPr="00D64579" w:rsidRDefault="00000000">
      <w:pPr>
        <w:pStyle w:val="ListParagraph"/>
        <w:numPr>
          <w:ilvl w:val="0"/>
          <w:numId w:val="1"/>
        </w:numPr>
        <w:tabs>
          <w:tab w:val="left" w:pos="820"/>
          <w:tab w:val="left" w:pos="821"/>
        </w:tabs>
        <w:ind w:hanging="361"/>
        <w:rPr>
          <w:sz w:val="20"/>
          <w:szCs w:val="20"/>
        </w:rPr>
      </w:pPr>
      <w:r w:rsidRPr="00D64579">
        <w:rPr>
          <w:sz w:val="20"/>
          <w:szCs w:val="20"/>
          <w:lang w:bidi="es-US"/>
        </w:rPr>
        <w:t>Baterías y electrónicos</w:t>
      </w:r>
    </w:p>
    <w:p w14:paraId="0A1DB98B" w14:textId="77777777" w:rsidR="0033654B" w:rsidRPr="00D64579" w:rsidRDefault="00000000">
      <w:pPr>
        <w:pStyle w:val="ListParagraph"/>
        <w:numPr>
          <w:ilvl w:val="0"/>
          <w:numId w:val="1"/>
        </w:numPr>
        <w:tabs>
          <w:tab w:val="left" w:pos="820"/>
          <w:tab w:val="left" w:pos="821"/>
        </w:tabs>
        <w:ind w:hanging="361"/>
        <w:rPr>
          <w:sz w:val="20"/>
          <w:szCs w:val="20"/>
        </w:rPr>
      </w:pPr>
      <w:r w:rsidRPr="00D64579">
        <w:rPr>
          <w:sz w:val="20"/>
          <w:szCs w:val="20"/>
          <w:lang w:bidi="es-US"/>
        </w:rPr>
        <w:t>Neumáticos</w:t>
      </w:r>
    </w:p>
    <w:p w14:paraId="3163CE5B" w14:textId="77777777" w:rsidR="0033654B" w:rsidRPr="00D64579" w:rsidRDefault="0033654B">
      <w:pPr>
        <w:pStyle w:val="BodyText"/>
        <w:spacing w:before="9"/>
        <w:ind w:left="0"/>
        <w:rPr>
          <w:sz w:val="19"/>
          <w:szCs w:val="20"/>
        </w:rPr>
      </w:pPr>
    </w:p>
    <w:p w14:paraId="44F89499" w14:textId="77777777" w:rsidR="00CB5EC2" w:rsidRPr="00D64579" w:rsidRDefault="00000000" w:rsidP="00CB5EC2">
      <w:pPr>
        <w:pStyle w:val="BodyText"/>
        <w:spacing w:line="242" w:lineRule="auto"/>
        <w:ind w:left="100" w:right="342"/>
        <w:rPr>
          <w:sz w:val="20"/>
          <w:szCs w:val="20"/>
        </w:rPr>
        <w:sectPr w:rsidR="00CB5EC2" w:rsidRPr="00D64579">
          <w:type w:val="continuous"/>
          <w:pgSz w:w="12240" w:h="15840"/>
          <w:pgMar w:top="720" w:right="1340" w:bottom="280" w:left="1340" w:header="720" w:footer="720" w:gutter="0"/>
          <w:cols w:space="720"/>
        </w:sectPr>
      </w:pPr>
      <w:r w:rsidRPr="00D64579">
        <w:rPr>
          <w:sz w:val="20"/>
          <w:szCs w:val="20"/>
          <w:lang w:bidi="es-US"/>
        </w:rPr>
        <w:t xml:space="preserve">Conozca más sobre nuestro </w:t>
      </w:r>
      <w:hyperlink r:id="rId13">
        <w:r w:rsidRPr="00D64579">
          <w:rPr>
            <w:color w:val="0462C1"/>
            <w:sz w:val="20"/>
            <w:szCs w:val="20"/>
            <w:u w:val="single" w:color="0462C1"/>
            <w:lang w:bidi="es-US"/>
          </w:rPr>
          <w:t>programa de residuos sólidos</w:t>
        </w:r>
      </w:hyperlink>
      <w:r w:rsidRPr="00D64579">
        <w:rPr>
          <w:sz w:val="20"/>
          <w:szCs w:val="20"/>
          <w:lang w:bidi="es-US"/>
        </w:rPr>
        <w:t xml:space="preserve">. Para preguntas por parte de los medios, comuníquese con Josh Kelly llamando al 802-522-5897 o escribiendo a la dirección </w:t>
      </w:r>
      <w:hyperlink r:id="rId14">
        <w:r w:rsidRPr="00D64579">
          <w:rPr>
            <w:color w:val="0462C1"/>
            <w:sz w:val="20"/>
            <w:szCs w:val="20"/>
            <w:u w:val="single" w:color="0462C1"/>
            <w:lang w:bidi="es-US"/>
          </w:rPr>
          <w:t>Josh.Kelly@vermont.gov;</w:t>
        </w:r>
        <w:r w:rsidRPr="00D64579">
          <w:rPr>
            <w:color w:val="0462C1"/>
            <w:sz w:val="20"/>
            <w:szCs w:val="20"/>
            <w:lang w:bidi="es-US"/>
          </w:rPr>
          <w:t xml:space="preserve"> </w:t>
        </w:r>
      </w:hyperlink>
      <w:r w:rsidRPr="00D64579">
        <w:rPr>
          <w:sz w:val="20"/>
          <w:szCs w:val="20"/>
          <w:lang w:bidi="es-US"/>
        </w:rPr>
        <w:t xml:space="preserve">o con Mia Roethlein llamando al 802-522-5926 o escribiendo a la dirección </w:t>
      </w:r>
      <w:hyperlink r:id="rId15">
        <w:r w:rsidRPr="00D64579">
          <w:rPr>
            <w:color w:val="0462C1"/>
            <w:sz w:val="20"/>
            <w:szCs w:val="20"/>
            <w:u w:val="single" w:color="0462C1"/>
            <w:lang w:bidi="es-US"/>
          </w:rPr>
          <w:t>Mia.Roethlein@vermont.gov</w:t>
        </w:r>
      </w:hyperlink>
      <w:r w:rsidRPr="00D64579">
        <w:rPr>
          <w:sz w:val="20"/>
          <w:szCs w:val="20"/>
          <w:lang w:bidi="es-US"/>
        </w:rPr>
        <w:t>.</w:t>
      </w:r>
    </w:p>
    <w:p w14:paraId="092CF298" w14:textId="77777777" w:rsidR="0033654B" w:rsidRPr="00D64579" w:rsidRDefault="00000000">
      <w:pPr>
        <w:pStyle w:val="BodyText"/>
        <w:spacing w:before="93"/>
        <w:ind w:left="100"/>
        <w:rPr>
          <w:sz w:val="20"/>
          <w:szCs w:val="20"/>
        </w:rPr>
      </w:pPr>
      <w:r w:rsidRPr="00D64579">
        <w:rPr>
          <w:sz w:val="20"/>
          <w:szCs w:val="20"/>
          <w:lang w:bidi="es-US"/>
        </w:rPr>
        <w:lastRenderedPageBreak/>
        <w:t xml:space="preserve">Para obtener más información sobre los recursos de recuperación tras una inundación de la Agencia de Recursos Naturales, el Departamento de Conservación Medioambiental, el Departamento de Pesca y Vida Silvestre o el Departamento de Bosques, Parques y Recreación, visite el sitio </w:t>
      </w:r>
      <w:hyperlink r:id="rId16">
        <w:r w:rsidRPr="00D64579">
          <w:rPr>
            <w:color w:val="0462C1"/>
            <w:sz w:val="20"/>
            <w:szCs w:val="20"/>
            <w:u w:val="single" w:color="0462C1"/>
            <w:lang w:bidi="es-US"/>
          </w:rPr>
          <w:t>https://ANR.Vermont.gov/Flood</w:t>
        </w:r>
      </w:hyperlink>
      <w:r w:rsidRPr="00D64579">
        <w:rPr>
          <w:sz w:val="20"/>
          <w:szCs w:val="20"/>
          <w:lang w:bidi="es-US"/>
        </w:rPr>
        <w:t>.</w:t>
      </w:r>
    </w:p>
    <w:p w14:paraId="318A5ECF" w14:textId="77777777" w:rsidR="00DF2493" w:rsidRPr="00D64579" w:rsidRDefault="00DF2493">
      <w:pPr>
        <w:pStyle w:val="BodyText"/>
        <w:spacing w:before="93"/>
        <w:ind w:left="4577" w:right="4575"/>
        <w:jc w:val="center"/>
        <w:rPr>
          <w:sz w:val="20"/>
          <w:szCs w:val="20"/>
        </w:rPr>
      </w:pPr>
    </w:p>
    <w:p w14:paraId="2C45F066" w14:textId="50A6FED0" w:rsidR="0033654B" w:rsidRPr="00D64579" w:rsidRDefault="00000000">
      <w:pPr>
        <w:pStyle w:val="BodyText"/>
        <w:spacing w:before="93"/>
        <w:ind w:left="4577" w:right="4575"/>
        <w:jc w:val="center"/>
        <w:rPr>
          <w:sz w:val="20"/>
          <w:szCs w:val="20"/>
        </w:rPr>
      </w:pPr>
      <w:r w:rsidRPr="00D64579">
        <w:rPr>
          <w:sz w:val="20"/>
          <w:szCs w:val="20"/>
          <w:lang w:bidi="es-US"/>
        </w:rPr>
        <w:t>###</w:t>
      </w:r>
    </w:p>
    <w:p w14:paraId="12243AFF" w14:textId="77777777" w:rsidR="0033654B" w:rsidRPr="00D64579" w:rsidRDefault="0033654B">
      <w:pPr>
        <w:pStyle w:val="BodyText"/>
        <w:spacing w:before="11"/>
        <w:ind w:left="0"/>
        <w:rPr>
          <w:sz w:val="19"/>
          <w:szCs w:val="20"/>
        </w:rPr>
      </w:pPr>
    </w:p>
    <w:p w14:paraId="12F7F61F" w14:textId="77777777" w:rsidR="0033654B" w:rsidRPr="00D64579" w:rsidRDefault="00000000">
      <w:pPr>
        <w:pStyle w:val="Heading1"/>
        <w:spacing w:line="251" w:lineRule="exact"/>
        <w:rPr>
          <w:sz w:val="20"/>
          <w:szCs w:val="20"/>
        </w:rPr>
      </w:pPr>
      <w:r w:rsidRPr="00D64579">
        <w:rPr>
          <w:sz w:val="20"/>
          <w:szCs w:val="20"/>
          <w:lang w:bidi="es-US"/>
        </w:rPr>
        <w:t>Aviso de no discriminación:</w:t>
      </w:r>
    </w:p>
    <w:p w14:paraId="4DA9C08D" w14:textId="77777777" w:rsidR="0033654B" w:rsidRPr="00D64579" w:rsidRDefault="00000000">
      <w:pPr>
        <w:pStyle w:val="BodyText"/>
        <w:ind w:left="100" w:right="113"/>
        <w:rPr>
          <w:sz w:val="20"/>
          <w:szCs w:val="20"/>
        </w:rPr>
      </w:pPr>
      <w:r w:rsidRPr="00D64579">
        <w:rPr>
          <w:sz w:val="20"/>
          <w:szCs w:val="20"/>
          <w:lang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044CD165" w14:textId="77777777" w:rsidR="0033654B" w:rsidRPr="00D64579" w:rsidRDefault="0033654B">
      <w:pPr>
        <w:pStyle w:val="BodyText"/>
        <w:spacing w:before="10"/>
        <w:ind w:left="0"/>
        <w:rPr>
          <w:sz w:val="19"/>
          <w:szCs w:val="20"/>
        </w:rPr>
      </w:pPr>
    </w:p>
    <w:p w14:paraId="1209BFF3" w14:textId="77777777" w:rsidR="0033654B" w:rsidRPr="00D64579" w:rsidRDefault="00000000">
      <w:pPr>
        <w:pStyle w:val="Heading1"/>
        <w:spacing w:before="1"/>
        <w:rPr>
          <w:sz w:val="20"/>
          <w:szCs w:val="20"/>
        </w:rPr>
      </w:pPr>
      <w:r w:rsidRPr="00D64579">
        <w:rPr>
          <w:sz w:val="20"/>
          <w:szCs w:val="20"/>
          <w:lang w:bidi="es-US"/>
        </w:rPr>
        <w:t>Aviso de acceso servicios lingüísticos:</w:t>
      </w:r>
    </w:p>
    <w:p w14:paraId="24C5FAD7" w14:textId="313FFAAD" w:rsidR="0033654B" w:rsidRPr="00D64579" w:rsidRDefault="00D64579" w:rsidP="00CB5EC2">
      <w:pPr>
        <w:pStyle w:val="BodyText"/>
        <w:spacing w:before="2" w:line="268" w:lineRule="auto"/>
        <w:ind w:left="100"/>
        <w:rPr>
          <w:rFonts w:ascii="Myanmar Text" w:eastAsia="Myanmar Text" w:hAnsi="Myanmar Text" w:cs="Myanmar Text"/>
          <w:sz w:val="20"/>
          <w:szCs w:val="20"/>
        </w:rPr>
      </w:pPr>
      <w:r w:rsidRPr="00D64579">
        <w:rPr>
          <w:rFonts w:cs="Myanmar Text"/>
          <w:noProof/>
          <w:sz w:val="14"/>
          <w:szCs w:val="14"/>
          <w:cs/>
          <w:lang w:bidi="my-MM"/>
        </w:rPr>
        <w:drawing>
          <wp:inline distT="0" distB="0" distL="0" distR="0" wp14:anchorId="7E809C21" wp14:editId="42B66084">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7"/>
                    <a:stretch>
                      <a:fillRect/>
                    </a:stretch>
                  </pic:blipFill>
                  <pic:spPr>
                    <a:xfrm>
                      <a:off x="0" y="0"/>
                      <a:ext cx="6070600" cy="1234440"/>
                    </a:xfrm>
                    <a:prstGeom prst="rect">
                      <a:avLst/>
                    </a:prstGeom>
                  </pic:spPr>
                </pic:pic>
              </a:graphicData>
            </a:graphic>
          </wp:inline>
        </w:drawing>
      </w:r>
    </w:p>
    <w:sectPr w:rsidR="0033654B" w:rsidRPr="00D64579" w:rsidSect="00CB5EC2">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40D6" w14:textId="77777777" w:rsidR="008C39A0" w:rsidRDefault="008C39A0" w:rsidP="006E7C76">
      <w:r>
        <w:separator/>
      </w:r>
    </w:p>
  </w:endnote>
  <w:endnote w:type="continuationSeparator" w:id="0">
    <w:p w14:paraId="68D834C3" w14:textId="77777777" w:rsidR="008C39A0" w:rsidRDefault="008C39A0" w:rsidP="006E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Franklin Gothic Medium">
    <w:altName w:val="Franklin Gothic Medium"/>
    <w:panose1 w:val="020B0603020102020204"/>
    <w:charset w:val="00"/>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EEC32" w14:textId="77777777" w:rsidR="008C39A0" w:rsidRDefault="008C39A0" w:rsidP="006E7C76">
      <w:r>
        <w:separator/>
      </w:r>
    </w:p>
  </w:footnote>
  <w:footnote w:type="continuationSeparator" w:id="0">
    <w:p w14:paraId="3BC50322" w14:textId="77777777" w:rsidR="008C39A0" w:rsidRDefault="008C39A0" w:rsidP="006E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C4AE4"/>
    <w:multiLevelType w:val="hybridMultilevel"/>
    <w:tmpl w:val="7F6AA1A8"/>
    <w:lvl w:ilvl="0" w:tplc="3FB4435E">
      <w:numFmt w:val="bullet"/>
      <w:lvlText w:val=""/>
      <w:lvlJc w:val="left"/>
      <w:pPr>
        <w:ind w:left="821" w:hanging="360"/>
      </w:pPr>
      <w:rPr>
        <w:rFonts w:ascii="Symbol" w:eastAsia="Symbol" w:hAnsi="Symbol" w:cs="Symbol" w:hint="default"/>
        <w:w w:val="100"/>
        <w:sz w:val="22"/>
        <w:szCs w:val="22"/>
        <w:lang w:val="en-US" w:eastAsia="en-US" w:bidi="ar-SA"/>
      </w:rPr>
    </w:lvl>
    <w:lvl w:ilvl="1" w:tplc="D61467CC">
      <w:numFmt w:val="bullet"/>
      <w:lvlText w:val="•"/>
      <w:lvlJc w:val="left"/>
      <w:pPr>
        <w:ind w:left="1694" w:hanging="360"/>
      </w:pPr>
      <w:rPr>
        <w:rFonts w:hint="default"/>
        <w:lang w:val="en-US" w:eastAsia="en-US" w:bidi="ar-SA"/>
      </w:rPr>
    </w:lvl>
    <w:lvl w:ilvl="2" w:tplc="66786BF8">
      <w:numFmt w:val="bullet"/>
      <w:lvlText w:val="•"/>
      <w:lvlJc w:val="left"/>
      <w:pPr>
        <w:ind w:left="2568" w:hanging="360"/>
      </w:pPr>
      <w:rPr>
        <w:rFonts w:hint="default"/>
        <w:lang w:val="en-US" w:eastAsia="en-US" w:bidi="ar-SA"/>
      </w:rPr>
    </w:lvl>
    <w:lvl w:ilvl="3" w:tplc="814A796C">
      <w:numFmt w:val="bullet"/>
      <w:lvlText w:val="•"/>
      <w:lvlJc w:val="left"/>
      <w:pPr>
        <w:ind w:left="3442" w:hanging="360"/>
      </w:pPr>
      <w:rPr>
        <w:rFonts w:hint="default"/>
        <w:lang w:val="en-US" w:eastAsia="en-US" w:bidi="ar-SA"/>
      </w:rPr>
    </w:lvl>
    <w:lvl w:ilvl="4" w:tplc="B2F882E8">
      <w:numFmt w:val="bullet"/>
      <w:lvlText w:val="•"/>
      <w:lvlJc w:val="left"/>
      <w:pPr>
        <w:ind w:left="4316" w:hanging="360"/>
      </w:pPr>
      <w:rPr>
        <w:rFonts w:hint="default"/>
        <w:lang w:val="en-US" w:eastAsia="en-US" w:bidi="ar-SA"/>
      </w:rPr>
    </w:lvl>
    <w:lvl w:ilvl="5" w:tplc="A5F41DBA">
      <w:numFmt w:val="bullet"/>
      <w:lvlText w:val="•"/>
      <w:lvlJc w:val="left"/>
      <w:pPr>
        <w:ind w:left="5190" w:hanging="360"/>
      </w:pPr>
      <w:rPr>
        <w:rFonts w:hint="default"/>
        <w:lang w:val="en-US" w:eastAsia="en-US" w:bidi="ar-SA"/>
      </w:rPr>
    </w:lvl>
    <w:lvl w:ilvl="6" w:tplc="B3BE1F4C">
      <w:numFmt w:val="bullet"/>
      <w:lvlText w:val="•"/>
      <w:lvlJc w:val="left"/>
      <w:pPr>
        <w:ind w:left="6064" w:hanging="360"/>
      </w:pPr>
      <w:rPr>
        <w:rFonts w:hint="default"/>
        <w:lang w:val="en-US" w:eastAsia="en-US" w:bidi="ar-SA"/>
      </w:rPr>
    </w:lvl>
    <w:lvl w:ilvl="7" w:tplc="154C439C">
      <w:numFmt w:val="bullet"/>
      <w:lvlText w:val="•"/>
      <w:lvlJc w:val="left"/>
      <w:pPr>
        <w:ind w:left="6938" w:hanging="360"/>
      </w:pPr>
      <w:rPr>
        <w:rFonts w:hint="default"/>
        <w:lang w:val="en-US" w:eastAsia="en-US" w:bidi="ar-SA"/>
      </w:rPr>
    </w:lvl>
    <w:lvl w:ilvl="8" w:tplc="03260674">
      <w:numFmt w:val="bullet"/>
      <w:lvlText w:val="•"/>
      <w:lvlJc w:val="left"/>
      <w:pPr>
        <w:ind w:left="7812" w:hanging="360"/>
      </w:pPr>
      <w:rPr>
        <w:rFonts w:hint="default"/>
        <w:lang w:val="en-US" w:eastAsia="en-US" w:bidi="ar-SA"/>
      </w:rPr>
    </w:lvl>
  </w:abstractNum>
  <w:num w:numId="1" w16cid:durableId="205527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654B"/>
    <w:rsid w:val="0000652B"/>
    <w:rsid w:val="003107D5"/>
    <w:rsid w:val="0033654B"/>
    <w:rsid w:val="006E7C76"/>
    <w:rsid w:val="008C39A0"/>
    <w:rsid w:val="00CB5EC2"/>
    <w:rsid w:val="00D64579"/>
    <w:rsid w:val="00DF2493"/>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3B37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style>
  <w:style w:type="paragraph" w:styleId="Title">
    <w:name w:val="Title"/>
    <w:basedOn w:val="Normal"/>
    <w:uiPriority w:val="10"/>
    <w:qFormat/>
    <w:pPr>
      <w:ind w:left="3127" w:right="3236"/>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pPr>
      <w:spacing w:line="267"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C76"/>
    <w:pPr>
      <w:tabs>
        <w:tab w:val="center" w:pos="4419"/>
        <w:tab w:val="right" w:pos="8838"/>
      </w:tabs>
    </w:pPr>
  </w:style>
  <w:style w:type="character" w:customStyle="1" w:styleId="HeaderChar">
    <w:name w:val="Header Char"/>
    <w:basedOn w:val="DefaultParagraphFont"/>
    <w:link w:val="Header"/>
    <w:uiPriority w:val="99"/>
    <w:rsid w:val="006E7C76"/>
    <w:rPr>
      <w:rFonts w:ascii="Arial MT" w:eastAsia="Arial MT" w:hAnsi="Arial MT" w:cs="Arial MT"/>
    </w:rPr>
  </w:style>
  <w:style w:type="paragraph" w:styleId="Footer">
    <w:name w:val="footer"/>
    <w:basedOn w:val="Normal"/>
    <w:link w:val="FooterChar"/>
    <w:uiPriority w:val="99"/>
    <w:unhideWhenUsed/>
    <w:rsid w:val="006E7C76"/>
    <w:pPr>
      <w:tabs>
        <w:tab w:val="center" w:pos="4419"/>
        <w:tab w:val="right" w:pos="8838"/>
      </w:tabs>
    </w:pPr>
  </w:style>
  <w:style w:type="character" w:customStyle="1" w:styleId="FooterChar">
    <w:name w:val="Footer Char"/>
    <w:basedOn w:val="DefaultParagraphFont"/>
    <w:link w:val="Footer"/>
    <w:uiPriority w:val="99"/>
    <w:rsid w:val="006E7C76"/>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vermont.gov/waste-management/solid"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nrmaps.vermont.gov/websites/Organics/default.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nr.vermont.gov/Flood"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vermont.gov/waste-management/solid/materials-mgmt/HHW" TargetMode="External"/><Relationship Id="rId5" Type="http://schemas.openxmlformats.org/officeDocument/2006/relationships/webSettings" Target="webSettings.xml"/><Relationship Id="rId15" Type="http://schemas.openxmlformats.org/officeDocument/2006/relationships/hyperlink" Target="mailto:Mia.Roethlein@vermont.gov" TargetMode="External"/><Relationship Id="rId10" Type="http://schemas.openxmlformats.org/officeDocument/2006/relationships/hyperlink" Target="http://www.802recycl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h.Kelly@vermont.gov" TargetMode="External"/><Relationship Id="rId14" Type="http://schemas.openxmlformats.org/officeDocument/2006/relationships/hyperlink" Target="mailto:Josh.Kelly@vermont.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8F6FD70B-8325-43F4-8A84-F275F1EE800B}">
  <ds:schemaRefs>
    <ds:schemaRef ds:uri="http://schemas.openxmlformats.org/officeDocument/2006/bibliography"/>
  </ds:schemaRefs>
</ds:datastoreItem>
</file>

<file path=customXml/itemProps2.xml><?xml version="1.0" encoding="utf-8"?>
<ds:datastoreItem xmlns:ds="http://schemas.openxmlformats.org/officeDocument/2006/customXml" ds:itemID="{60092A0C-AAA5-48E7-BAE6-75C2E9E6B4F0}"/>
</file>

<file path=customXml/itemProps3.xml><?xml version="1.0" encoding="utf-8"?>
<ds:datastoreItem xmlns:ds="http://schemas.openxmlformats.org/officeDocument/2006/customXml" ds:itemID="{29C2B8FD-9C89-47D7-9636-FB9569BDAA66}"/>
</file>

<file path=customXml/itemProps4.xml><?xml version="1.0" encoding="utf-8"?>
<ds:datastoreItem xmlns:ds="http://schemas.openxmlformats.org/officeDocument/2006/customXml" ds:itemID="{D646A4F4-3CE9-419C-81FC-B9A4F4467672}"/>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3369</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2023-07-18T15:27:00Z</dcterms:created>
  <dcterms:modified xsi:type="dcterms:W3CDTF">2023-07-19T21:09:00Z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