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7038" w14:textId="77777777" w:rsidR="00404F48" w:rsidRPr="00BD01B3" w:rsidRDefault="00000000">
      <w:pPr>
        <w:pStyle w:val="BodyText"/>
        <w:rPr>
          <w:rFonts w:asciiTheme="minorBidi" w:hAnsiTheme="minorBidi" w:cstheme="minorBidi"/>
          <w:sz w:val="18"/>
          <w:szCs w:val="20"/>
        </w:rPr>
      </w:pPr>
      <w:r w:rsidRPr="00BD01B3">
        <w:rPr>
          <w:rFonts w:asciiTheme="minorBidi" w:hAnsiTheme="minorBidi" w:cstheme="minorBidi"/>
          <w:noProof/>
          <w:sz w:val="18"/>
          <w:szCs w:val="20"/>
          <w:lang w:bidi="fr-FR"/>
        </w:rPr>
        <w:drawing>
          <wp:inline distT="0" distB="0" distL="0" distR="0" wp14:anchorId="3FD81C42" wp14:editId="60C0D3A3">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1DB9ED5C" w14:textId="77777777" w:rsidR="00404F48" w:rsidRPr="00BD01B3" w:rsidRDefault="00404F48">
      <w:pPr>
        <w:pStyle w:val="BodyText"/>
        <w:spacing w:before="7"/>
        <w:ind w:left="0"/>
        <w:rPr>
          <w:rFonts w:asciiTheme="minorBidi" w:hAnsiTheme="minorBidi" w:cstheme="minorBidi"/>
          <w:sz w:val="12"/>
          <w:szCs w:val="20"/>
        </w:rPr>
      </w:pPr>
    </w:p>
    <w:p w14:paraId="00D3B42C" w14:textId="77777777" w:rsidR="00404F48" w:rsidRPr="00BD01B3" w:rsidRDefault="00000000">
      <w:pPr>
        <w:spacing w:before="93"/>
        <w:ind w:left="100"/>
        <w:rPr>
          <w:rFonts w:asciiTheme="minorBidi" w:hAnsiTheme="minorBidi" w:cstheme="minorBidi"/>
          <w:b/>
          <w:sz w:val="20"/>
          <w:szCs w:val="20"/>
        </w:rPr>
      </w:pPr>
      <w:r w:rsidRPr="00BD01B3">
        <w:rPr>
          <w:rFonts w:asciiTheme="minorBidi" w:hAnsiTheme="minorBidi" w:cstheme="minorBidi"/>
          <w:b/>
          <w:sz w:val="20"/>
          <w:szCs w:val="20"/>
          <w:lang w:bidi="fr-FR"/>
        </w:rPr>
        <w:t>COMMUNIQUÉ DE PRESSE</w:t>
      </w:r>
    </w:p>
    <w:p w14:paraId="54B3B5FA" w14:textId="77777777" w:rsidR="00404F48" w:rsidRPr="00BD01B3" w:rsidRDefault="00000000">
      <w:pPr>
        <w:pStyle w:val="BodyText"/>
        <w:spacing w:before="2"/>
        <w:rPr>
          <w:rFonts w:asciiTheme="minorBidi" w:hAnsiTheme="minorBidi" w:cstheme="minorBidi"/>
          <w:sz w:val="20"/>
          <w:szCs w:val="20"/>
        </w:rPr>
      </w:pPr>
      <w:r w:rsidRPr="00BD01B3">
        <w:rPr>
          <w:rFonts w:asciiTheme="minorBidi" w:hAnsiTheme="minorBidi" w:cstheme="minorBidi"/>
          <w:sz w:val="20"/>
          <w:szCs w:val="20"/>
          <w:lang w:bidi="fr-FR"/>
        </w:rPr>
        <w:t>Pour publication immédiate – 13 juillet 2023</w:t>
      </w:r>
    </w:p>
    <w:p w14:paraId="0D59284B" w14:textId="77777777" w:rsidR="00404F48" w:rsidRPr="00BD01B3" w:rsidRDefault="00404F48">
      <w:pPr>
        <w:pStyle w:val="BodyText"/>
        <w:spacing w:before="11"/>
        <w:ind w:left="0"/>
        <w:rPr>
          <w:rFonts w:asciiTheme="minorBidi" w:hAnsiTheme="minorBidi" w:cstheme="minorBidi"/>
          <w:sz w:val="19"/>
          <w:szCs w:val="20"/>
        </w:rPr>
      </w:pPr>
    </w:p>
    <w:p w14:paraId="306B767A" w14:textId="77777777" w:rsidR="00404F48" w:rsidRPr="00BD01B3" w:rsidRDefault="00000000">
      <w:pPr>
        <w:spacing w:line="252" w:lineRule="exact"/>
        <w:ind w:left="100"/>
        <w:rPr>
          <w:rFonts w:asciiTheme="minorBidi" w:hAnsiTheme="minorBidi" w:cstheme="minorBidi"/>
          <w:b/>
          <w:sz w:val="20"/>
          <w:szCs w:val="20"/>
        </w:rPr>
      </w:pPr>
      <w:r w:rsidRPr="00BD01B3">
        <w:rPr>
          <w:rFonts w:asciiTheme="minorBidi" w:hAnsiTheme="minorBidi" w:cstheme="minorBidi"/>
          <w:b/>
          <w:sz w:val="20"/>
          <w:szCs w:val="20"/>
          <w:lang w:bidi="fr-FR"/>
        </w:rPr>
        <w:t>Personne de contact pour les médias :</w:t>
      </w:r>
    </w:p>
    <w:p w14:paraId="19287912" w14:textId="77777777" w:rsidR="0093091E" w:rsidRPr="00C2465C" w:rsidRDefault="00000000" w:rsidP="0093091E">
      <w:pPr>
        <w:spacing w:line="275" w:lineRule="exact"/>
        <w:ind w:left="100"/>
        <w:rPr>
          <w:szCs w:val="20"/>
        </w:rPr>
      </w:pPr>
      <w:r w:rsidRPr="00BD01B3">
        <w:rPr>
          <w:rFonts w:asciiTheme="minorBidi" w:hAnsiTheme="minorBidi" w:cstheme="minorBidi"/>
          <w:szCs w:val="20"/>
          <w:lang w:bidi="fr-FR"/>
        </w:rPr>
        <w:t>Michelle Kolb, programme des eaux usées, Division de la gestion des bassins versants</w:t>
      </w:r>
      <w:r w:rsidR="00BD01B3" w:rsidRPr="00BD01B3">
        <w:rPr>
          <w:rFonts w:asciiTheme="minorBidi" w:hAnsiTheme="minorBidi" w:cstheme="minorBidi"/>
          <w:szCs w:val="20"/>
          <w:lang w:bidi="fr-FR"/>
        </w:rPr>
        <w:br/>
      </w:r>
      <w:r w:rsidR="0093091E" w:rsidRPr="00C2465C">
        <w:rPr>
          <w:szCs w:val="20"/>
          <w:lang w:bidi="fr-FR"/>
        </w:rPr>
        <w:t>Department of Environmental Conservation</w:t>
      </w:r>
    </w:p>
    <w:p w14:paraId="751D8268" w14:textId="40B964C1" w:rsidR="00404F48" w:rsidRPr="00BD01B3" w:rsidRDefault="00000000" w:rsidP="0093091E">
      <w:pPr>
        <w:ind w:left="100" w:right="913"/>
        <w:rPr>
          <w:rFonts w:asciiTheme="minorBidi" w:hAnsiTheme="minorBidi" w:cstheme="minorBidi"/>
          <w:szCs w:val="20"/>
        </w:rPr>
      </w:pPr>
      <w:r w:rsidRPr="00BD01B3">
        <w:rPr>
          <w:rFonts w:asciiTheme="minorBidi" w:hAnsiTheme="minorBidi" w:cstheme="minorBidi"/>
          <w:szCs w:val="20"/>
          <w:u w:color="0462C1"/>
          <w:lang w:bidi="fr-FR"/>
        </w:rPr>
        <w:t>802-490-6165</w:t>
      </w:r>
      <w:r w:rsidRPr="00BD01B3">
        <w:rPr>
          <w:rFonts w:asciiTheme="minorBidi" w:hAnsiTheme="minorBidi" w:cstheme="minorBidi"/>
          <w:szCs w:val="20"/>
          <w:lang w:bidi="fr-FR"/>
        </w:rPr>
        <w:t xml:space="preserve">, </w:t>
      </w:r>
      <w:hyperlink r:id="rId7" w:history="1">
        <w:r w:rsidRPr="00BD01B3">
          <w:rPr>
            <w:rStyle w:val="Hyperlink"/>
            <w:rFonts w:asciiTheme="minorBidi" w:hAnsiTheme="minorBidi" w:cstheme="minorBidi"/>
            <w:color w:val="4F81BD" w:themeColor="accent1"/>
            <w:szCs w:val="20"/>
            <w:lang w:bidi="fr-FR"/>
          </w:rPr>
          <w:t>Michelle.Kolb@vermont.gov</w:t>
        </w:r>
      </w:hyperlink>
    </w:p>
    <w:p w14:paraId="0820B922" w14:textId="77777777" w:rsidR="00404F48" w:rsidRPr="00BD01B3" w:rsidRDefault="00404F48">
      <w:pPr>
        <w:pStyle w:val="BodyText"/>
        <w:spacing w:before="8"/>
        <w:ind w:left="0"/>
        <w:rPr>
          <w:rFonts w:asciiTheme="minorBidi" w:hAnsiTheme="minorBidi" w:cstheme="minorBidi"/>
          <w:sz w:val="23"/>
          <w:szCs w:val="20"/>
        </w:rPr>
      </w:pPr>
    </w:p>
    <w:p w14:paraId="6A6B0FD0" w14:textId="77777777" w:rsidR="00404F48" w:rsidRPr="00BD01B3" w:rsidRDefault="00000000" w:rsidP="006E1B3B">
      <w:pPr>
        <w:pStyle w:val="Title"/>
        <w:ind w:left="0" w:right="62"/>
        <w:rPr>
          <w:rFonts w:asciiTheme="minorBidi" w:hAnsiTheme="minorBidi" w:cstheme="minorBidi"/>
          <w:b/>
          <w:bCs/>
          <w:sz w:val="30"/>
          <w:szCs w:val="28"/>
        </w:rPr>
      </w:pPr>
      <w:r w:rsidRPr="00BD01B3">
        <w:rPr>
          <w:rFonts w:asciiTheme="minorBidi" w:hAnsiTheme="minorBidi" w:cstheme="minorBidi"/>
          <w:b/>
          <w:sz w:val="28"/>
          <w:szCs w:val="28"/>
          <w:lang w:bidi="fr-FR"/>
        </w:rPr>
        <w:t>Le Ministère de la protection de l’environnement (DEC) du Vermont lance une alerte publique concernant la pollution de l’eau</w:t>
      </w:r>
    </w:p>
    <w:p w14:paraId="284A7CD3" w14:textId="77777777" w:rsidR="00404F48" w:rsidRPr="00BD01B3" w:rsidRDefault="00000000">
      <w:pPr>
        <w:pStyle w:val="BodyText"/>
        <w:spacing w:before="299"/>
        <w:ind w:right="145"/>
        <w:rPr>
          <w:rFonts w:asciiTheme="minorBidi" w:hAnsiTheme="minorBidi" w:cstheme="minorBidi"/>
          <w:sz w:val="20"/>
          <w:szCs w:val="20"/>
        </w:rPr>
      </w:pPr>
      <w:r w:rsidRPr="00BD01B3">
        <w:rPr>
          <w:rFonts w:asciiTheme="minorBidi" w:hAnsiTheme="minorBidi" w:cstheme="minorBidi"/>
          <w:i/>
          <w:sz w:val="20"/>
          <w:szCs w:val="20"/>
          <w:lang w:bidi="fr-FR"/>
        </w:rPr>
        <w:t>Montpelier, Vermont –</w:t>
      </w:r>
      <w:r w:rsidRPr="00BD01B3">
        <w:rPr>
          <w:rFonts w:asciiTheme="minorBidi" w:hAnsiTheme="minorBidi" w:cstheme="minorBidi"/>
          <w:sz w:val="20"/>
          <w:szCs w:val="20"/>
          <w:lang w:bidi="fr-FR"/>
        </w:rPr>
        <w:t xml:space="preserve"> À la suite des inondations généralisées qui ont touché le Vermont, de nombreuses stations d’épuration municipales et fosses septiques privées ont été inondées par de fortes quantités d’eau et d’eaux usées, ce qui a entraîné des rejets d’eaux usées partiellement traitées ou non traitées dans l’environnement.</w:t>
      </w:r>
    </w:p>
    <w:p w14:paraId="4CA37176" w14:textId="77777777" w:rsidR="00404F48" w:rsidRPr="00BD01B3" w:rsidRDefault="00404F48">
      <w:pPr>
        <w:pStyle w:val="BodyText"/>
        <w:ind w:left="0"/>
        <w:rPr>
          <w:rFonts w:asciiTheme="minorBidi" w:hAnsiTheme="minorBidi" w:cstheme="minorBidi"/>
          <w:sz w:val="20"/>
          <w:szCs w:val="20"/>
        </w:rPr>
      </w:pPr>
    </w:p>
    <w:p w14:paraId="3544884C" w14:textId="77777777" w:rsidR="00404F48" w:rsidRPr="00BD01B3" w:rsidRDefault="00000000">
      <w:pPr>
        <w:spacing w:before="1"/>
        <w:ind w:left="100" w:right="145"/>
        <w:rPr>
          <w:rFonts w:asciiTheme="minorBidi" w:hAnsiTheme="minorBidi" w:cstheme="minorBidi"/>
          <w:b/>
          <w:sz w:val="20"/>
          <w:szCs w:val="20"/>
        </w:rPr>
      </w:pPr>
      <w:r w:rsidRPr="00BD01B3">
        <w:rPr>
          <w:rFonts w:asciiTheme="minorBidi" w:hAnsiTheme="minorBidi" w:cstheme="minorBidi"/>
          <w:sz w:val="20"/>
          <w:szCs w:val="20"/>
          <w:lang w:bidi="fr-FR"/>
        </w:rPr>
        <w:t xml:space="preserve">Les rivières et les eaux de crue peuvent donc contenir des agents pathogènes tels que des virus et des bactéries, susceptibles de provoquer des maladies. Bien que ces zones ne fassent pas l’objet d’une signalisation visant à éviter tout contact, </w:t>
      </w:r>
      <w:r w:rsidRPr="00BD01B3">
        <w:rPr>
          <w:rFonts w:asciiTheme="minorBidi" w:hAnsiTheme="minorBidi" w:cstheme="minorBidi"/>
          <w:b/>
          <w:sz w:val="20"/>
          <w:szCs w:val="20"/>
          <w:lang w:bidi="fr-FR"/>
        </w:rPr>
        <w:t>il convient d’éviter les activités de loisirs, la navigation de plaisance, la natation ou la pêche pendant plusieurs jours, jusqu’à ce que les débits reviennent à des niveaux normaux</w:t>
      </w:r>
      <w:r w:rsidRPr="00BD01B3">
        <w:rPr>
          <w:rFonts w:asciiTheme="minorBidi" w:hAnsiTheme="minorBidi" w:cstheme="minorBidi"/>
          <w:sz w:val="20"/>
          <w:szCs w:val="20"/>
          <w:lang w:bidi="fr-FR"/>
        </w:rPr>
        <w:t>.</w:t>
      </w:r>
    </w:p>
    <w:p w14:paraId="212D8994" w14:textId="77777777" w:rsidR="00404F48" w:rsidRPr="00BD01B3" w:rsidRDefault="00404F48">
      <w:pPr>
        <w:pStyle w:val="BodyText"/>
        <w:ind w:left="0"/>
        <w:rPr>
          <w:rFonts w:asciiTheme="minorBidi" w:hAnsiTheme="minorBidi" w:cstheme="minorBidi"/>
          <w:b/>
          <w:sz w:val="20"/>
          <w:szCs w:val="20"/>
        </w:rPr>
      </w:pPr>
    </w:p>
    <w:p w14:paraId="6B03AE8E" w14:textId="77777777" w:rsidR="00404F48" w:rsidRPr="00BD01B3" w:rsidRDefault="00000000">
      <w:pPr>
        <w:pStyle w:val="BodyText"/>
        <w:spacing w:line="242" w:lineRule="auto"/>
        <w:rPr>
          <w:rFonts w:asciiTheme="minorBidi" w:hAnsiTheme="minorBidi" w:cstheme="minorBidi"/>
          <w:sz w:val="20"/>
          <w:szCs w:val="20"/>
        </w:rPr>
      </w:pPr>
      <w:r w:rsidRPr="00BD01B3">
        <w:rPr>
          <w:rFonts w:asciiTheme="minorBidi" w:hAnsiTheme="minorBidi" w:cstheme="minorBidi"/>
          <w:sz w:val="20"/>
          <w:szCs w:val="20"/>
          <w:lang w:bidi="fr-FR"/>
        </w:rPr>
        <w:t>Une fois que les débits seront revenus à des niveaux normaux et qu’un nombre suffisant de stations d’épuration seront en mesure de reprendre un traitement complet des eaux, la procédure standard d’information au public et de pose de signalisations temporaires en aval des points d’accès publics reprendra pour les zones nécessitant des travaux de remise en état de plus longue haleine.</w:t>
      </w:r>
    </w:p>
    <w:p w14:paraId="074C7BD8" w14:textId="77777777" w:rsidR="00404F48" w:rsidRPr="00BD01B3" w:rsidRDefault="00404F48">
      <w:pPr>
        <w:pStyle w:val="BodyText"/>
        <w:spacing w:before="7"/>
        <w:ind w:left="0"/>
        <w:rPr>
          <w:rFonts w:asciiTheme="minorBidi" w:hAnsiTheme="minorBidi" w:cstheme="minorBidi"/>
          <w:sz w:val="19"/>
          <w:szCs w:val="20"/>
        </w:rPr>
      </w:pPr>
    </w:p>
    <w:p w14:paraId="1C37C37F" w14:textId="77777777" w:rsidR="00404F48" w:rsidRPr="00BD01B3" w:rsidRDefault="00000000">
      <w:pPr>
        <w:pStyle w:val="BodyText"/>
        <w:ind w:right="134"/>
        <w:rPr>
          <w:rFonts w:asciiTheme="minorBidi" w:hAnsiTheme="minorBidi" w:cstheme="minorBidi"/>
          <w:sz w:val="20"/>
          <w:szCs w:val="20"/>
        </w:rPr>
      </w:pPr>
      <w:r w:rsidRPr="00BD01B3">
        <w:rPr>
          <w:rFonts w:asciiTheme="minorBidi" w:hAnsiTheme="minorBidi" w:cstheme="minorBidi"/>
          <w:sz w:val="20"/>
          <w:szCs w:val="20"/>
          <w:lang w:bidi="fr-FR"/>
        </w:rPr>
        <w:t xml:space="preserve">Pour de plus amples informations sur les ressources de récupération post-inondations mobilisées par l’Agence des ressources naturelles, du Ministère de la protection de l’environnement (Department of Environmental Conservation), du Ministère de la pêche et de la faune (Fish and Wildlife Department) ou du Ministère des forêts, des parcs et des loisirs (Department of Forests, Parks, and Recreation), veuillez consulter le site </w:t>
      </w:r>
      <w:hyperlink r:id="rId8">
        <w:r w:rsidRPr="00BD01B3">
          <w:rPr>
            <w:rFonts w:asciiTheme="minorBidi" w:hAnsiTheme="minorBidi" w:cstheme="minorBidi"/>
            <w:color w:val="0462C1"/>
            <w:sz w:val="20"/>
            <w:szCs w:val="20"/>
            <w:u w:val="single" w:color="0462C1"/>
            <w:lang w:bidi="fr-FR"/>
          </w:rPr>
          <w:t>https://ANR.Vermont.gov/Flood</w:t>
        </w:r>
      </w:hyperlink>
      <w:r w:rsidRPr="00BD01B3">
        <w:rPr>
          <w:rFonts w:asciiTheme="minorBidi" w:hAnsiTheme="minorBidi" w:cstheme="minorBidi"/>
          <w:sz w:val="20"/>
          <w:szCs w:val="20"/>
          <w:lang w:bidi="fr-FR"/>
        </w:rPr>
        <w:t>. Cette page contiendra des avis indiquant s’il faut faire bouillir l’eau, des informations sur la fermeture des parcs, des directives sur la remise en état des routes et des rivières, des informations sur les forages et les fosses septiques, et bien d’autres choses encore.</w:t>
      </w:r>
    </w:p>
    <w:p w14:paraId="22539131" w14:textId="77777777" w:rsidR="00404F48" w:rsidRPr="00BD01B3" w:rsidRDefault="00404F48">
      <w:pPr>
        <w:pStyle w:val="BodyText"/>
        <w:spacing w:before="9"/>
        <w:ind w:left="0"/>
        <w:rPr>
          <w:rFonts w:asciiTheme="minorBidi" w:hAnsiTheme="minorBidi" w:cstheme="minorBidi"/>
          <w:sz w:val="19"/>
          <w:szCs w:val="20"/>
        </w:rPr>
      </w:pPr>
    </w:p>
    <w:p w14:paraId="7AF5C529" w14:textId="77777777" w:rsidR="00404F48" w:rsidRPr="00BD01B3" w:rsidRDefault="00000000">
      <w:pPr>
        <w:pStyle w:val="BodyText"/>
        <w:ind w:left="1775" w:right="1773"/>
        <w:jc w:val="center"/>
        <w:rPr>
          <w:rFonts w:asciiTheme="minorBidi" w:hAnsiTheme="minorBidi" w:cstheme="minorBidi"/>
          <w:sz w:val="20"/>
          <w:szCs w:val="20"/>
        </w:rPr>
      </w:pPr>
      <w:r w:rsidRPr="00BD01B3">
        <w:rPr>
          <w:rFonts w:asciiTheme="minorBidi" w:hAnsiTheme="minorBidi" w:cstheme="minorBidi"/>
          <w:sz w:val="20"/>
          <w:szCs w:val="20"/>
          <w:lang w:bidi="fr-FR"/>
        </w:rPr>
        <w:t>###</w:t>
      </w:r>
    </w:p>
    <w:p w14:paraId="4199B739" w14:textId="77777777" w:rsidR="00404F48" w:rsidRPr="00BD01B3" w:rsidRDefault="00404F48">
      <w:pPr>
        <w:pStyle w:val="BodyText"/>
        <w:spacing w:before="5"/>
        <w:ind w:left="0"/>
        <w:rPr>
          <w:rFonts w:asciiTheme="minorBidi" w:hAnsiTheme="minorBidi" w:cstheme="minorBidi"/>
          <w:sz w:val="20"/>
          <w:szCs w:val="20"/>
        </w:rPr>
      </w:pPr>
    </w:p>
    <w:p w14:paraId="4116CCF7" w14:textId="77777777" w:rsidR="00404F48" w:rsidRPr="00BD01B3" w:rsidRDefault="00000000">
      <w:pPr>
        <w:pStyle w:val="BodyText"/>
        <w:spacing w:line="251" w:lineRule="exact"/>
        <w:rPr>
          <w:rFonts w:asciiTheme="minorBidi" w:hAnsiTheme="minorBidi" w:cstheme="minorBidi"/>
          <w:sz w:val="20"/>
          <w:szCs w:val="20"/>
        </w:rPr>
      </w:pPr>
      <w:r w:rsidRPr="00BD01B3">
        <w:rPr>
          <w:rFonts w:asciiTheme="minorBidi" w:hAnsiTheme="minorBidi" w:cstheme="minorBidi"/>
          <w:sz w:val="20"/>
          <w:szCs w:val="20"/>
          <w:lang w:bidi="fr-FR"/>
        </w:rPr>
        <w:t>Avis de non-discrimination :</w:t>
      </w:r>
    </w:p>
    <w:p w14:paraId="22C1EF9B" w14:textId="77777777" w:rsidR="00404F48" w:rsidRPr="00BD01B3" w:rsidRDefault="00000000">
      <w:pPr>
        <w:pStyle w:val="BodyText"/>
        <w:ind w:right="113"/>
        <w:rPr>
          <w:rFonts w:asciiTheme="minorBidi" w:hAnsiTheme="minorBidi" w:cstheme="minorBidi"/>
          <w:sz w:val="20"/>
          <w:szCs w:val="20"/>
        </w:rPr>
      </w:pPr>
      <w:r w:rsidRPr="00BD01B3">
        <w:rPr>
          <w:rFonts w:asciiTheme="minorBidi" w:hAnsiTheme="minorBidi" w:cstheme="minorBidi"/>
          <w:sz w:val="20"/>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0511D8EA" w14:textId="77777777" w:rsidR="00404F48" w:rsidRPr="00BD01B3" w:rsidRDefault="00404F48">
      <w:pPr>
        <w:pStyle w:val="BodyText"/>
        <w:spacing w:before="10"/>
        <w:ind w:left="0"/>
        <w:rPr>
          <w:rFonts w:asciiTheme="minorBidi" w:hAnsiTheme="minorBidi" w:cstheme="minorBidi"/>
          <w:sz w:val="19"/>
          <w:szCs w:val="20"/>
        </w:rPr>
      </w:pPr>
    </w:p>
    <w:p w14:paraId="18BB470D" w14:textId="77777777" w:rsidR="00404F48" w:rsidRPr="00BD01B3" w:rsidRDefault="00000000">
      <w:pPr>
        <w:pStyle w:val="BodyText"/>
        <w:spacing w:before="1"/>
        <w:rPr>
          <w:rFonts w:asciiTheme="minorBidi" w:hAnsiTheme="minorBidi" w:cstheme="minorBidi"/>
          <w:sz w:val="20"/>
          <w:szCs w:val="20"/>
        </w:rPr>
      </w:pPr>
      <w:r w:rsidRPr="00BD01B3">
        <w:rPr>
          <w:rFonts w:asciiTheme="minorBidi" w:hAnsiTheme="minorBidi" w:cstheme="minorBidi"/>
          <w:sz w:val="20"/>
          <w:szCs w:val="20"/>
          <w:lang w:bidi="fr-FR"/>
        </w:rPr>
        <w:t>Avis relatif à l’accès linguistique :</w:t>
      </w:r>
    </w:p>
    <w:p w14:paraId="6D1AFFE6" w14:textId="3CAA7F8D" w:rsidR="00404F48" w:rsidRPr="00BD01B3" w:rsidRDefault="00D01E50" w:rsidP="00D01E50">
      <w:pPr>
        <w:pStyle w:val="BodyText"/>
        <w:spacing w:before="2"/>
        <w:rPr>
          <w:rFonts w:asciiTheme="minorBidi" w:hAnsiTheme="minorBidi" w:cstheme="minorBidi"/>
          <w:sz w:val="20"/>
          <w:szCs w:val="20"/>
        </w:rPr>
      </w:pPr>
      <w:r w:rsidRPr="00E4264D">
        <w:rPr>
          <w:rFonts w:cs="Myanmar Text"/>
          <w:noProof/>
          <w:sz w:val="14"/>
          <w:szCs w:val="14"/>
          <w:cs/>
          <w:lang w:bidi="my-MM"/>
        </w:rPr>
        <w:drawing>
          <wp:inline distT="0" distB="0" distL="0" distR="0" wp14:anchorId="73EC167E" wp14:editId="2C0FFF94">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stretch>
                      <a:fillRect/>
                    </a:stretch>
                  </pic:blipFill>
                  <pic:spPr>
                    <a:xfrm>
                      <a:off x="0" y="0"/>
                      <a:ext cx="6070600" cy="1234440"/>
                    </a:xfrm>
                    <a:prstGeom prst="rect">
                      <a:avLst/>
                    </a:prstGeom>
                  </pic:spPr>
                </pic:pic>
              </a:graphicData>
            </a:graphic>
          </wp:inline>
        </w:drawing>
      </w:r>
    </w:p>
    <w:sectPr w:rsidR="00404F48" w:rsidRPr="00BD01B3">
      <w:type w:val="continuous"/>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DBCD" w14:textId="77777777" w:rsidR="00C10A7E" w:rsidRDefault="00C10A7E" w:rsidP="00EC1E2F">
      <w:r>
        <w:separator/>
      </w:r>
    </w:p>
  </w:endnote>
  <w:endnote w:type="continuationSeparator" w:id="0">
    <w:p w14:paraId="3BAD39B0" w14:textId="77777777" w:rsidR="00C10A7E" w:rsidRDefault="00C10A7E" w:rsidP="00EC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F0AF" w14:textId="77777777" w:rsidR="00C10A7E" w:rsidRDefault="00C10A7E" w:rsidP="00EC1E2F">
      <w:r>
        <w:separator/>
      </w:r>
    </w:p>
  </w:footnote>
  <w:footnote w:type="continuationSeparator" w:id="0">
    <w:p w14:paraId="4B1C4A59" w14:textId="77777777" w:rsidR="00C10A7E" w:rsidRDefault="00C10A7E" w:rsidP="00EC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F48"/>
    <w:rsid w:val="000244E5"/>
    <w:rsid w:val="00404F48"/>
    <w:rsid w:val="006E1B3B"/>
    <w:rsid w:val="00805778"/>
    <w:rsid w:val="0093091E"/>
    <w:rsid w:val="009E4D47"/>
    <w:rsid w:val="00BD01B3"/>
    <w:rsid w:val="00C10A7E"/>
    <w:rsid w:val="00D01E50"/>
    <w:rsid w:val="00EC1E2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06F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775" w:right="1882"/>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1E2F"/>
    <w:pPr>
      <w:tabs>
        <w:tab w:val="center" w:pos="4419"/>
        <w:tab w:val="right" w:pos="8838"/>
      </w:tabs>
    </w:pPr>
  </w:style>
  <w:style w:type="character" w:customStyle="1" w:styleId="HeaderChar">
    <w:name w:val="Header Char"/>
    <w:basedOn w:val="DefaultParagraphFont"/>
    <w:link w:val="Header"/>
    <w:uiPriority w:val="99"/>
    <w:rsid w:val="00EC1E2F"/>
    <w:rPr>
      <w:rFonts w:ascii="Arial MT" w:eastAsia="Arial MT" w:hAnsi="Arial MT" w:cs="Arial MT"/>
    </w:rPr>
  </w:style>
  <w:style w:type="paragraph" w:styleId="Footer">
    <w:name w:val="footer"/>
    <w:basedOn w:val="Normal"/>
    <w:link w:val="FooterChar"/>
    <w:uiPriority w:val="99"/>
    <w:unhideWhenUsed/>
    <w:rsid w:val="00EC1E2F"/>
    <w:pPr>
      <w:tabs>
        <w:tab w:val="center" w:pos="4419"/>
        <w:tab w:val="right" w:pos="8838"/>
      </w:tabs>
    </w:pPr>
  </w:style>
  <w:style w:type="character" w:customStyle="1" w:styleId="FooterChar">
    <w:name w:val="Footer Char"/>
    <w:basedOn w:val="DefaultParagraphFont"/>
    <w:link w:val="Footer"/>
    <w:uiPriority w:val="99"/>
    <w:rsid w:val="00EC1E2F"/>
    <w:rPr>
      <w:rFonts w:ascii="Arial MT" w:eastAsia="Arial MT" w:hAnsi="Arial MT" w:cs="Arial MT"/>
    </w:rPr>
  </w:style>
  <w:style w:type="character" w:styleId="Hyperlink">
    <w:name w:val="Hyperlink"/>
    <w:basedOn w:val="DefaultParagraphFont"/>
    <w:uiPriority w:val="99"/>
    <w:unhideWhenUsed/>
    <w:rsid w:val="00BD01B3"/>
    <w:rPr>
      <w:color w:val="0000FF" w:themeColor="hyperlink"/>
      <w:u w:val="single"/>
    </w:rPr>
  </w:style>
  <w:style w:type="character" w:styleId="UnresolvedMention">
    <w:name w:val="Unresolved Mention"/>
    <w:basedOn w:val="DefaultParagraphFont"/>
    <w:uiPriority w:val="99"/>
    <w:semiHidden/>
    <w:unhideWhenUsed/>
    <w:rsid w:val="00BD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elle.Kolb@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B3ADADEA-F7E9-4576-A332-F7C5223BA533}"/>
</file>

<file path=customXml/itemProps2.xml><?xml version="1.0" encoding="utf-8"?>
<ds:datastoreItem xmlns:ds="http://schemas.openxmlformats.org/officeDocument/2006/customXml" ds:itemID="{A7A40C70-977B-4618-8267-C0190912946B}"/>
</file>

<file path=customXml/itemProps3.xml><?xml version="1.0" encoding="utf-8"?>
<ds:datastoreItem xmlns:ds="http://schemas.openxmlformats.org/officeDocument/2006/customXml" ds:itemID="{AE5B37E5-7117-423E-85E0-E0D5D8373E57}"/>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2023-07-18T16:05:00Z</dcterms:created>
  <dcterms:modified xsi:type="dcterms:W3CDTF">2023-07-19T18:50:00Z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