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641C" w14:textId="77777777" w:rsidR="00DC2AA6" w:rsidRPr="006E6E45" w:rsidRDefault="00000000">
      <w:pPr>
        <w:pStyle w:val="BodyText"/>
        <w:rPr>
          <w:rFonts w:asciiTheme="minorBidi" w:hAnsiTheme="minorBidi" w:cstheme="minorBidi"/>
          <w:sz w:val="18"/>
          <w:szCs w:val="20"/>
        </w:rPr>
      </w:pPr>
      <w:r w:rsidRPr="006E6E45">
        <w:rPr>
          <w:rFonts w:asciiTheme="minorBidi" w:hAnsiTheme="minorBidi" w:cstheme="minorBidi"/>
          <w:noProof/>
          <w:sz w:val="18"/>
          <w:szCs w:val="20"/>
          <w:lang w:bidi="fr-FR"/>
        </w:rPr>
        <w:drawing>
          <wp:inline distT="0" distB="0" distL="0" distR="0" wp14:anchorId="097F5490" wp14:editId="74DBDB5F">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7361" cy="585787"/>
                    </a:xfrm>
                    <a:prstGeom prst="rect">
                      <a:avLst/>
                    </a:prstGeom>
                  </pic:spPr>
                </pic:pic>
              </a:graphicData>
            </a:graphic>
          </wp:inline>
        </w:drawing>
      </w:r>
    </w:p>
    <w:p w14:paraId="290F50BA" w14:textId="77777777" w:rsidR="00DC2AA6" w:rsidRPr="006E6E45" w:rsidRDefault="00DC2AA6">
      <w:pPr>
        <w:pStyle w:val="BodyText"/>
        <w:spacing w:before="7"/>
        <w:ind w:left="0"/>
        <w:rPr>
          <w:rFonts w:asciiTheme="minorBidi" w:hAnsiTheme="minorBidi" w:cstheme="minorBidi"/>
          <w:sz w:val="12"/>
          <w:szCs w:val="20"/>
        </w:rPr>
      </w:pPr>
    </w:p>
    <w:p w14:paraId="4B98BF25" w14:textId="77777777" w:rsidR="00DC2AA6" w:rsidRPr="006E6E45" w:rsidRDefault="00000000">
      <w:pPr>
        <w:pStyle w:val="Heading1"/>
        <w:spacing w:before="93"/>
        <w:rPr>
          <w:rFonts w:asciiTheme="minorBidi" w:hAnsiTheme="minorBidi" w:cstheme="minorBidi"/>
          <w:sz w:val="20"/>
          <w:szCs w:val="20"/>
        </w:rPr>
      </w:pPr>
      <w:r w:rsidRPr="006E6E45">
        <w:rPr>
          <w:rFonts w:asciiTheme="minorBidi" w:hAnsiTheme="minorBidi" w:cstheme="minorBidi"/>
          <w:sz w:val="20"/>
          <w:szCs w:val="20"/>
          <w:lang w:bidi="fr-FR"/>
        </w:rPr>
        <w:t>COMMUNIQUÉ DE PRESSE – Révisé</w:t>
      </w:r>
    </w:p>
    <w:p w14:paraId="3DE9C489" w14:textId="77777777" w:rsidR="00DC2AA6" w:rsidRPr="006E6E45" w:rsidRDefault="00000000">
      <w:pPr>
        <w:pStyle w:val="BodyText"/>
        <w:spacing w:before="2"/>
        <w:rPr>
          <w:rFonts w:asciiTheme="minorBidi" w:hAnsiTheme="minorBidi" w:cstheme="minorBidi"/>
          <w:sz w:val="20"/>
          <w:szCs w:val="20"/>
        </w:rPr>
      </w:pPr>
      <w:r w:rsidRPr="006E6E45">
        <w:rPr>
          <w:rFonts w:asciiTheme="minorBidi" w:hAnsiTheme="minorBidi" w:cstheme="minorBidi"/>
          <w:sz w:val="20"/>
          <w:szCs w:val="20"/>
          <w:lang w:bidi="fr-FR"/>
        </w:rPr>
        <w:t>Pour publication immédiate – 13 juillet 2023</w:t>
      </w:r>
    </w:p>
    <w:p w14:paraId="4C258A4B" w14:textId="77777777" w:rsidR="00DC2AA6" w:rsidRPr="006E6E45" w:rsidRDefault="00DC2AA6">
      <w:pPr>
        <w:pStyle w:val="BodyText"/>
        <w:spacing w:before="11"/>
        <w:ind w:left="0"/>
        <w:rPr>
          <w:rFonts w:asciiTheme="minorBidi" w:hAnsiTheme="minorBidi" w:cstheme="minorBidi"/>
          <w:sz w:val="20"/>
          <w:szCs w:val="20"/>
        </w:rPr>
      </w:pPr>
    </w:p>
    <w:p w14:paraId="573746DF" w14:textId="77777777" w:rsidR="00DC2AA6" w:rsidRPr="006E6E45" w:rsidRDefault="00000000">
      <w:pPr>
        <w:pStyle w:val="Heading1"/>
        <w:rPr>
          <w:rFonts w:asciiTheme="minorBidi" w:hAnsiTheme="minorBidi" w:cstheme="minorBidi"/>
          <w:sz w:val="20"/>
          <w:szCs w:val="20"/>
        </w:rPr>
      </w:pPr>
      <w:r w:rsidRPr="006E6E45">
        <w:rPr>
          <w:rFonts w:asciiTheme="minorBidi" w:hAnsiTheme="minorBidi" w:cstheme="minorBidi"/>
          <w:sz w:val="20"/>
          <w:szCs w:val="20"/>
          <w:lang w:bidi="fr-FR"/>
        </w:rPr>
        <w:t>Personne de contact pour les médias :</w:t>
      </w:r>
    </w:p>
    <w:p w14:paraId="7EA6BADD" w14:textId="265590BB" w:rsidR="00DC2AA6" w:rsidRPr="006E6E45" w:rsidRDefault="00000000" w:rsidP="006E6E45">
      <w:pPr>
        <w:pStyle w:val="BodyText"/>
        <w:spacing w:before="2"/>
        <w:ind w:right="629"/>
        <w:rPr>
          <w:rFonts w:asciiTheme="minorBidi" w:hAnsiTheme="minorBidi" w:cstheme="minorBidi"/>
          <w:sz w:val="20"/>
          <w:szCs w:val="20"/>
        </w:rPr>
      </w:pPr>
      <w:r w:rsidRPr="006E6E45">
        <w:rPr>
          <w:rFonts w:asciiTheme="minorBidi" w:hAnsiTheme="minorBidi" w:cstheme="minorBidi"/>
          <w:sz w:val="20"/>
          <w:szCs w:val="20"/>
          <w:lang w:bidi="fr-FR"/>
        </w:rPr>
        <w:t>Tim Cropley, responsable du programme relatif aux écoulements</w:t>
      </w:r>
      <w:r w:rsidR="006E6E45" w:rsidRPr="006E6E45">
        <w:rPr>
          <w:rFonts w:asciiTheme="minorBidi" w:hAnsiTheme="minorBidi" w:cstheme="minorBidi"/>
          <w:sz w:val="20"/>
          <w:szCs w:val="20"/>
          <w:lang w:bidi="fr-FR"/>
        </w:rPr>
        <w:br/>
      </w:r>
      <w:r w:rsidRPr="006E6E45">
        <w:rPr>
          <w:rFonts w:asciiTheme="minorBidi" w:hAnsiTheme="minorBidi" w:cstheme="minorBidi"/>
          <w:sz w:val="20"/>
          <w:szCs w:val="20"/>
          <w:lang w:bidi="fr-FR"/>
        </w:rPr>
        <w:t>Department of Environmental Conservation</w:t>
      </w:r>
      <w:r w:rsidR="006E6E45" w:rsidRPr="006E6E45">
        <w:rPr>
          <w:rFonts w:asciiTheme="minorBidi" w:hAnsiTheme="minorBidi" w:cstheme="minorBidi"/>
          <w:sz w:val="20"/>
          <w:szCs w:val="20"/>
          <w:lang w:bidi="fr-FR"/>
        </w:rPr>
        <w:br/>
      </w:r>
      <w:r w:rsidRPr="006E6E45">
        <w:rPr>
          <w:rFonts w:asciiTheme="minorBidi" w:hAnsiTheme="minorBidi" w:cstheme="minorBidi"/>
          <w:sz w:val="20"/>
          <w:szCs w:val="20"/>
          <w:lang w:bidi="fr-FR"/>
        </w:rPr>
        <w:t xml:space="preserve">802- 249-5346, </w:t>
      </w:r>
      <w:hyperlink r:id="rId7">
        <w:r w:rsidRPr="006E6E45">
          <w:rPr>
            <w:rFonts w:asciiTheme="minorBidi" w:hAnsiTheme="minorBidi" w:cstheme="minorBidi"/>
            <w:color w:val="0462C1"/>
            <w:sz w:val="20"/>
            <w:szCs w:val="20"/>
            <w:u w:val="single" w:color="0462C1"/>
            <w:lang w:bidi="fr-FR"/>
          </w:rPr>
          <w:t>Tim.Cropley@vermont.gov</w:t>
        </w:r>
      </w:hyperlink>
    </w:p>
    <w:p w14:paraId="5D5BB907" w14:textId="77777777" w:rsidR="00DC2AA6" w:rsidRPr="006E6E45" w:rsidRDefault="00DC2AA6">
      <w:pPr>
        <w:pStyle w:val="BodyText"/>
        <w:spacing w:before="7"/>
        <w:ind w:left="0"/>
        <w:rPr>
          <w:rFonts w:asciiTheme="minorBidi" w:hAnsiTheme="minorBidi" w:cstheme="minorBidi"/>
          <w:sz w:val="24"/>
          <w:szCs w:val="20"/>
        </w:rPr>
      </w:pPr>
    </w:p>
    <w:p w14:paraId="22D62E6A" w14:textId="77777777" w:rsidR="00DC2AA6" w:rsidRPr="006E6E45" w:rsidRDefault="00000000" w:rsidP="005A4388">
      <w:pPr>
        <w:pStyle w:val="Title"/>
        <w:ind w:left="0" w:right="62"/>
        <w:rPr>
          <w:rFonts w:asciiTheme="minorBidi" w:hAnsiTheme="minorBidi" w:cstheme="minorBidi"/>
          <w:b/>
          <w:bCs/>
          <w:sz w:val="28"/>
          <w:szCs w:val="28"/>
        </w:rPr>
      </w:pPr>
      <w:r w:rsidRPr="006E6E45">
        <w:rPr>
          <w:rFonts w:asciiTheme="minorBidi" w:hAnsiTheme="minorBidi" w:cstheme="minorBidi"/>
          <w:b/>
          <w:sz w:val="28"/>
          <w:szCs w:val="28"/>
          <w:lang w:bidi="fr-FR"/>
        </w:rPr>
        <w:t>Ministère de la protection de l’environnement : comment pomper les sous-sols en toute sécurité</w:t>
      </w:r>
    </w:p>
    <w:p w14:paraId="0DBF6F6E" w14:textId="77777777" w:rsidR="00DC2AA6" w:rsidRPr="006E6E45" w:rsidRDefault="00000000">
      <w:pPr>
        <w:pStyle w:val="BodyText"/>
        <w:spacing w:before="299"/>
        <w:ind w:right="158"/>
        <w:rPr>
          <w:rFonts w:asciiTheme="minorBidi" w:hAnsiTheme="minorBidi" w:cstheme="minorBidi"/>
          <w:sz w:val="20"/>
          <w:szCs w:val="20"/>
        </w:rPr>
      </w:pPr>
      <w:r w:rsidRPr="006E6E45">
        <w:rPr>
          <w:rFonts w:asciiTheme="minorBidi" w:hAnsiTheme="minorBidi" w:cstheme="minorBidi"/>
          <w:i/>
          <w:sz w:val="20"/>
          <w:szCs w:val="20"/>
          <w:lang w:bidi="fr-FR"/>
        </w:rPr>
        <w:t>Montpelier, Vermont</w:t>
      </w:r>
      <w:r w:rsidRPr="006E6E45">
        <w:rPr>
          <w:rFonts w:asciiTheme="minorBidi" w:hAnsiTheme="minorBidi" w:cstheme="minorBidi"/>
          <w:sz w:val="20"/>
          <w:szCs w:val="20"/>
          <w:lang w:bidi="fr-FR"/>
        </w:rPr>
        <w:t xml:space="preserve"> – Les inondations majeures survenues dans le Vermont ont provoqué l’inondation de nombreux sous-sols et, dans certains cas, un dégagement de mazout provenant des réservoirs de mazout situés dans les sous-sols. Le Ministère de la protection de l’environnement propose quelques conseils pour le nettoyage des sous-sols.</w:t>
      </w:r>
    </w:p>
    <w:p w14:paraId="0422770D" w14:textId="77777777" w:rsidR="00DC2AA6" w:rsidRPr="006E6E45" w:rsidRDefault="00DC2AA6">
      <w:pPr>
        <w:pStyle w:val="BodyText"/>
        <w:spacing w:before="10"/>
        <w:ind w:left="0"/>
        <w:rPr>
          <w:rFonts w:asciiTheme="minorBidi" w:hAnsiTheme="minorBidi" w:cstheme="minorBidi"/>
          <w:sz w:val="20"/>
          <w:szCs w:val="20"/>
        </w:rPr>
      </w:pPr>
    </w:p>
    <w:p w14:paraId="393DE805" w14:textId="77777777" w:rsidR="00DC2AA6" w:rsidRPr="006E6E45" w:rsidRDefault="00000000">
      <w:pPr>
        <w:pStyle w:val="BodyText"/>
        <w:spacing w:line="242" w:lineRule="auto"/>
        <w:ind w:right="195"/>
        <w:rPr>
          <w:rFonts w:asciiTheme="minorBidi" w:hAnsiTheme="minorBidi" w:cstheme="minorBidi"/>
          <w:sz w:val="20"/>
          <w:szCs w:val="20"/>
        </w:rPr>
      </w:pPr>
      <w:r w:rsidRPr="006E6E45">
        <w:rPr>
          <w:rFonts w:asciiTheme="minorBidi" w:hAnsiTheme="minorBidi" w:cstheme="minorBidi"/>
          <w:b/>
          <w:sz w:val="20"/>
          <w:szCs w:val="20"/>
          <w:lang w:bidi="fr-FR"/>
        </w:rPr>
        <w:t xml:space="preserve">S’il n’y a aucune trace d’huile </w:t>
      </w:r>
      <w:r w:rsidRPr="006E6E45">
        <w:rPr>
          <w:rFonts w:asciiTheme="minorBidi" w:hAnsiTheme="minorBidi" w:cstheme="minorBidi"/>
          <w:sz w:val="20"/>
          <w:szCs w:val="20"/>
          <w:lang w:bidi="fr-FR"/>
        </w:rPr>
        <w:t>dans l’eau – par exemple une pellicule d’huile à la surface (ni aucune odeur d’huile), l’eau peut être pompée vers le sol (de préférence) ou une bouche d’égout.</w:t>
      </w:r>
    </w:p>
    <w:p w14:paraId="16FAC76F" w14:textId="77777777" w:rsidR="00DC2AA6" w:rsidRPr="006E6E45" w:rsidRDefault="00DC2AA6">
      <w:pPr>
        <w:pStyle w:val="BodyText"/>
        <w:spacing w:before="10"/>
        <w:ind w:left="0"/>
        <w:rPr>
          <w:rFonts w:asciiTheme="minorBidi" w:hAnsiTheme="minorBidi" w:cstheme="minorBidi"/>
          <w:sz w:val="20"/>
          <w:szCs w:val="20"/>
        </w:rPr>
      </w:pPr>
    </w:p>
    <w:p w14:paraId="2DC1A8F8" w14:textId="77777777" w:rsidR="00DC2AA6" w:rsidRPr="006E6E45" w:rsidRDefault="00000000">
      <w:pPr>
        <w:spacing w:line="237" w:lineRule="auto"/>
        <w:ind w:left="100" w:right="245"/>
        <w:rPr>
          <w:rFonts w:asciiTheme="minorBidi" w:hAnsiTheme="minorBidi" w:cstheme="minorBidi"/>
          <w:sz w:val="20"/>
          <w:szCs w:val="20"/>
        </w:rPr>
      </w:pPr>
      <w:r w:rsidRPr="006E6E45">
        <w:rPr>
          <w:rFonts w:asciiTheme="minorBidi" w:hAnsiTheme="minorBidi" w:cstheme="minorBidi"/>
          <w:b/>
          <w:sz w:val="20"/>
          <w:szCs w:val="20"/>
          <w:lang w:bidi="fr-FR"/>
        </w:rPr>
        <w:t xml:space="preserve">Lorsque de l’huile ou un hydrocarbure (essence, diesel, etc.) </w:t>
      </w:r>
      <w:r w:rsidRPr="006E6E45">
        <w:rPr>
          <w:rFonts w:asciiTheme="minorBidi" w:hAnsiTheme="minorBidi" w:cstheme="minorBidi"/>
          <w:sz w:val="20"/>
          <w:szCs w:val="20"/>
          <w:lang w:bidi="fr-FR"/>
        </w:rPr>
        <w:t xml:space="preserve">flotte à la surface de l’eau dans un sous-sol ou dans un contenant, signalez-le au Ministère de la protection de l’environnement (DEC) au </w:t>
      </w:r>
      <w:r w:rsidRPr="006E6E45">
        <w:rPr>
          <w:rFonts w:asciiTheme="minorBidi" w:hAnsiTheme="minorBidi" w:cstheme="minorBidi"/>
          <w:b/>
          <w:sz w:val="20"/>
          <w:szCs w:val="20"/>
          <w:lang w:bidi="fr-FR"/>
        </w:rPr>
        <w:t>800-641-5005 (24h/24, 7j/7) ou au 802-828-1138 (horaires de travail)</w:t>
      </w:r>
      <w:r w:rsidRPr="006E6E45">
        <w:rPr>
          <w:rFonts w:asciiTheme="minorBidi" w:hAnsiTheme="minorBidi" w:cstheme="minorBidi"/>
          <w:sz w:val="20"/>
          <w:szCs w:val="20"/>
          <w:lang w:bidi="fr-FR"/>
        </w:rPr>
        <w:t>.</w:t>
      </w:r>
    </w:p>
    <w:p w14:paraId="797BFC0B" w14:textId="77777777" w:rsidR="00DC2AA6" w:rsidRPr="006E6E45" w:rsidRDefault="00DC2AA6">
      <w:pPr>
        <w:pStyle w:val="BodyText"/>
        <w:spacing w:before="9"/>
        <w:ind w:left="0"/>
        <w:rPr>
          <w:rFonts w:asciiTheme="minorBidi" w:hAnsiTheme="minorBidi" w:cstheme="minorBidi"/>
          <w:sz w:val="28"/>
          <w:szCs w:val="20"/>
        </w:rPr>
      </w:pPr>
    </w:p>
    <w:p w14:paraId="24813CEA" w14:textId="77777777" w:rsidR="00DC2AA6" w:rsidRPr="006E6E45" w:rsidRDefault="00000000">
      <w:pPr>
        <w:pStyle w:val="BodyText"/>
        <w:ind w:right="341"/>
        <w:rPr>
          <w:rFonts w:asciiTheme="minorBidi" w:hAnsiTheme="minorBidi" w:cstheme="minorBidi"/>
          <w:sz w:val="20"/>
          <w:szCs w:val="20"/>
        </w:rPr>
      </w:pPr>
      <w:r w:rsidRPr="006E6E45">
        <w:rPr>
          <w:rFonts w:asciiTheme="minorBidi" w:hAnsiTheme="minorBidi" w:cstheme="minorBidi"/>
          <w:sz w:val="20"/>
          <w:szCs w:val="20"/>
          <w:lang w:bidi="fr-FR"/>
        </w:rPr>
        <w:t>Le Ministère de la protection de l’environnement peut aider les entrepreneurs directs dans leurs travaux de pompage. Les responsables des opérations de pompage dans les sous-sols prélèveront en priorité les couches situées à la surface afin récupérer tous les hydrocarbures flottants. (Le pompage de liquide en profondeur ou sous la surface peut avoir pour conséquence que l’huile flottante imbibe tout ce qui se trouve dans le sous-sol, ce qui entraînera des travaux de nettoyage plus importants)</w:t>
      </w:r>
    </w:p>
    <w:p w14:paraId="0D0AADDC" w14:textId="77777777" w:rsidR="00DC2AA6" w:rsidRPr="006E6E45" w:rsidRDefault="00DC2AA6">
      <w:pPr>
        <w:pStyle w:val="BodyText"/>
        <w:spacing w:before="8"/>
        <w:ind w:left="0"/>
        <w:rPr>
          <w:rFonts w:asciiTheme="minorBidi" w:hAnsiTheme="minorBidi" w:cstheme="minorBidi"/>
          <w:sz w:val="28"/>
          <w:szCs w:val="20"/>
        </w:rPr>
      </w:pPr>
    </w:p>
    <w:p w14:paraId="6DBC8405" w14:textId="77777777" w:rsidR="00DC2AA6" w:rsidRPr="006E6E45" w:rsidRDefault="00000000">
      <w:pPr>
        <w:pStyle w:val="BodyText"/>
        <w:spacing w:line="237" w:lineRule="auto"/>
        <w:ind w:right="219"/>
        <w:rPr>
          <w:rFonts w:asciiTheme="minorBidi" w:hAnsiTheme="minorBidi" w:cstheme="minorBidi"/>
          <w:sz w:val="20"/>
          <w:szCs w:val="20"/>
        </w:rPr>
      </w:pPr>
      <w:r w:rsidRPr="006E6E45">
        <w:rPr>
          <w:rFonts w:asciiTheme="minorBidi" w:hAnsiTheme="minorBidi" w:cstheme="minorBidi"/>
          <w:sz w:val="20"/>
          <w:szCs w:val="20"/>
          <w:lang w:bidi="fr-FR"/>
        </w:rPr>
        <w:t>Une fois les hydrocarbures éliminés ou qu’il n’y a plus de trace d’huiles ou d’hydrocarbures à la surface de l’eau, celle-ci peut être pompée vers le sol.</w:t>
      </w:r>
    </w:p>
    <w:p w14:paraId="7421AF5F" w14:textId="77777777" w:rsidR="00DC2AA6" w:rsidRPr="006E6E45" w:rsidRDefault="00DC2AA6">
      <w:pPr>
        <w:pStyle w:val="BodyText"/>
        <w:spacing w:before="10"/>
        <w:ind w:left="0"/>
        <w:rPr>
          <w:rFonts w:asciiTheme="minorBidi" w:hAnsiTheme="minorBidi" w:cstheme="minorBidi"/>
          <w:sz w:val="20"/>
          <w:szCs w:val="20"/>
        </w:rPr>
      </w:pPr>
    </w:p>
    <w:p w14:paraId="4B51BD95" w14:textId="77777777" w:rsidR="00DC2AA6" w:rsidRPr="006E6E45" w:rsidRDefault="00000000">
      <w:pPr>
        <w:pStyle w:val="BodyText"/>
        <w:spacing w:before="1" w:line="242" w:lineRule="auto"/>
        <w:ind w:right="463"/>
        <w:rPr>
          <w:rFonts w:asciiTheme="minorBidi" w:hAnsiTheme="minorBidi" w:cstheme="minorBidi"/>
          <w:sz w:val="20"/>
          <w:szCs w:val="20"/>
        </w:rPr>
      </w:pPr>
      <w:r w:rsidRPr="006E6E45">
        <w:rPr>
          <w:rFonts w:asciiTheme="minorBidi" w:hAnsiTheme="minorBidi" w:cstheme="minorBidi"/>
          <w:sz w:val="20"/>
          <w:szCs w:val="20"/>
          <w:lang w:bidi="fr-FR"/>
        </w:rPr>
        <w:t>Les eaux des sous-sols contenant des huiles et/ou des hydrocarbures ne doivent être pompées jusqu’à la surface qu’après consultation du Ministère de la protection de l’environnement.</w:t>
      </w:r>
    </w:p>
    <w:p w14:paraId="19E2D087" w14:textId="77777777" w:rsidR="00DC2AA6" w:rsidRPr="006E6E45" w:rsidRDefault="00DC2AA6">
      <w:pPr>
        <w:pStyle w:val="BodyText"/>
        <w:spacing w:before="7"/>
        <w:ind w:left="0"/>
        <w:rPr>
          <w:rFonts w:asciiTheme="minorBidi" w:hAnsiTheme="minorBidi" w:cstheme="minorBidi"/>
          <w:sz w:val="20"/>
          <w:szCs w:val="20"/>
        </w:rPr>
      </w:pPr>
    </w:p>
    <w:p w14:paraId="2D6684E4" w14:textId="77777777" w:rsidR="00DC2AA6" w:rsidRPr="006E6E45" w:rsidRDefault="00000000">
      <w:pPr>
        <w:pStyle w:val="BodyText"/>
        <w:spacing w:before="1"/>
        <w:ind w:right="385"/>
        <w:jc w:val="both"/>
        <w:rPr>
          <w:rFonts w:asciiTheme="minorBidi" w:hAnsiTheme="minorBidi" w:cstheme="minorBidi"/>
          <w:sz w:val="20"/>
          <w:szCs w:val="20"/>
        </w:rPr>
      </w:pPr>
      <w:r w:rsidRPr="006E6E45">
        <w:rPr>
          <w:rFonts w:asciiTheme="minorBidi" w:hAnsiTheme="minorBidi" w:cstheme="minorBidi"/>
          <w:sz w:val="20"/>
          <w:szCs w:val="20"/>
          <w:lang w:bidi="fr-FR"/>
        </w:rPr>
        <w:t>Si des intervenants ou des camions d’évacuation ne sont pas disponibles pour retirer les huiles et les hydrocarbures des eaux d’inondation, le Ministère de la protection de l’environnement vous donnera des conseils sur la façon de pomper l’eau du haut vers le bas pour assurer que les huiles et hydrocarbures soit éliminés en premier.</w:t>
      </w:r>
    </w:p>
    <w:p w14:paraId="5104DAFF" w14:textId="77777777" w:rsidR="00DC2AA6" w:rsidRPr="006E6E45" w:rsidRDefault="00DC2AA6">
      <w:pPr>
        <w:pStyle w:val="BodyText"/>
        <w:ind w:left="0"/>
        <w:rPr>
          <w:rFonts w:asciiTheme="minorBidi" w:hAnsiTheme="minorBidi" w:cstheme="minorBidi"/>
          <w:szCs w:val="20"/>
        </w:rPr>
      </w:pPr>
    </w:p>
    <w:p w14:paraId="42523D02" w14:textId="77777777" w:rsidR="00DC2AA6" w:rsidRPr="006E6E45" w:rsidRDefault="00DC2AA6">
      <w:pPr>
        <w:pStyle w:val="BodyText"/>
        <w:ind w:left="0"/>
        <w:rPr>
          <w:rFonts w:asciiTheme="minorBidi" w:hAnsiTheme="minorBidi" w:cstheme="minorBidi"/>
          <w:sz w:val="18"/>
          <w:szCs w:val="20"/>
        </w:rPr>
      </w:pPr>
    </w:p>
    <w:p w14:paraId="67FB3D6E" w14:textId="77777777" w:rsidR="00DC2AA6" w:rsidRPr="006E6E45" w:rsidRDefault="00000000">
      <w:pPr>
        <w:pStyle w:val="BodyText"/>
        <w:rPr>
          <w:rFonts w:asciiTheme="minorBidi" w:hAnsiTheme="minorBidi" w:cstheme="minorBidi"/>
          <w:sz w:val="20"/>
          <w:szCs w:val="20"/>
        </w:rPr>
      </w:pPr>
      <w:r w:rsidRPr="006E6E45">
        <w:rPr>
          <w:rFonts w:asciiTheme="minorBidi" w:hAnsiTheme="minorBidi" w:cstheme="minorBidi"/>
          <w:sz w:val="20"/>
          <w:szCs w:val="20"/>
          <w:lang w:bidi="fr-FR"/>
        </w:rPr>
        <w:t xml:space="preserve">Pour de plus amples informations sur les ressources de récupération post-inondations mobilisées par l’Agence des ressources naturelles, du Ministère de la protection de l’environnement (Department of Environmental Conservation), du Ministère de la pêche et de la faune (Fish and Wildlife Department) ou du Ministère des forêts, des parcs et des loisirs (Department of Forests, Parks, and Recreation), veuillez consulter le site </w:t>
      </w:r>
      <w:hyperlink r:id="rId8">
        <w:r w:rsidRPr="006E6E45">
          <w:rPr>
            <w:rFonts w:asciiTheme="minorBidi" w:hAnsiTheme="minorBidi" w:cstheme="minorBidi"/>
            <w:color w:val="0462C1"/>
            <w:sz w:val="20"/>
            <w:szCs w:val="20"/>
            <w:u w:val="single" w:color="0462C1"/>
            <w:lang w:bidi="fr-FR"/>
          </w:rPr>
          <w:t>https://ANR.Vermont.gov/Flood</w:t>
        </w:r>
      </w:hyperlink>
      <w:r w:rsidRPr="006E6E45">
        <w:rPr>
          <w:rFonts w:asciiTheme="minorBidi" w:hAnsiTheme="minorBidi" w:cstheme="minorBidi"/>
          <w:sz w:val="20"/>
          <w:szCs w:val="20"/>
          <w:lang w:bidi="fr-FR"/>
        </w:rPr>
        <w:t>.</w:t>
      </w:r>
    </w:p>
    <w:p w14:paraId="2C709EA5" w14:textId="77777777" w:rsidR="00DC2AA6" w:rsidRPr="006E6E45" w:rsidRDefault="00DC2AA6">
      <w:pPr>
        <w:pStyle w:val="BodyText"/>
        <w:spacing w:before="2"/>
        <w:ind w:left="0"/>
        <w:rPr>
          <w:rFonts w:asciiTheme="minorBidi" w:hAnsiTheme="minorBidi" w:cstheme="minorBidi"/>
          <w:sz w:val="12"/>
          <w:szCs w:val="20"/>
        </w:rPr>
      </w:pPr>
    </w:p>
    <w:p w14:paraId="7782F92E" w14:textId="77777777" w:rsidR="00DC2AA6" w:rsidRPr="006E6E45" w:rsidRDefault="00000000">
      <w:pPr>
        <w:pStyle w:val="BodyText"/>
        <w:spacing w:before="93"/>
        <w:ind w:left="2231" w:right="2229"/>
        <w:jc w:val="center"/>
        <w:rPr>
          <w:rFonts w:asciiTheme="minorBidi" w:hAnsiTheme="minorBidi" w:cstheme="minorBidi"/>
          <w:sz w:val="20"/>
          <w:szCs w:val="20"/>
        </w:rPr>
      </w:pPr>
      <w:r w:rsidRPr="006E6E45">
        <w:rPr>
          <w:rFonts w:asciiTheme="minorBidi" w:hAnsiTheme="minorBidi" w:cstheme="minorBidi"/>
          <w:sz w:val="20"/>
          <w:szCs w:val="20"/>
          <w:lang w:bidi="fr-FR"/>
        </w:rPr>
        <w:t>###</w:t>
      </w:r>
    </w:p>
    <w:p w14:paraId="769E405C" w14:textId="77777777" w:rsidR="00DC2AA6" w:rsidRPr="006E6E45" w:rsidRDefault="00DC2AA6">
      <w:pPr>
        <w:pStyle w:val="BodyText"/>
        <w:spacing w:before="11"/>
        <w:ind w:left="0"/>
        <w:rPr>
          <w:rFonts w:asciiTheme="minorBidi" w:hAnsiTheme="minorBidi" w:cstheme="minorBidi"/>
          <w:sz w:val="20"/>
          <w:szCs w:val="20"/>
        </w:rPr>
      </w:pPr>
    </w:p>
    <w:p w14:paraId="301803EE" w14:textId="77777777" w:rsidR="00DC2AA6" w:rsidRPr="006E6E45" w:rsidRDefault="00000000">
      <w:pPr>
        <w:pStyle w:val="Heading1"/>
        <w:spacing w:line="252" w:lineRule="exact"/>
        <w:rPr>
          <w:rFonts w:asciiTheme="minorBidi" w:hAnsiTheme="minorBidi" w:cstheme="minorBidi"/>
          <w:sz w:val="20"/>
          <w:szCs w:val="20"/>
        </w:rPr>
      </w:pPr>
      <w:r w:rsidRPr="006E6E45">
        <w:rPr>
          <w:rFonts w:asciiTheme="minorBidi" w:hAnsiTheme="minorBidi" w:cstheme="minorBidi"/>
          <w:sz w:val="20"/>
          <w:szCs w:val="20"/>
          <w:lang w:bidi="fr-FR"/>
        </w:rPr>
        <w:t>Avis de non-discrimination :</w:t>
      </w:r>
    </w:p>
    <w:p w14:paraId="5B410CE9" w14:textId="233BDFE8" w:rsidR="005A4388" w:rsidRPr="006E6E45" w:rsidRDefault="00000000" w:rsidP="005A4388">
      <w:pPr>
        <w:pStyle w:val="BodyText"/>
        <w:ind w:right="113"/>
        <w:rPr>
          <w:rFonts w:asciiTheme="minorBidi" w:hAnsiTheme="minorBidi" w:cstheme="minorBidi"/>
          <w:sz w:val="20"/>
          <w:szCs w:val="20"/>
        </w:rPr>
      </w:pPr>
      <w:r w:rsidRPr="006E6E45">
        <w:rPr>
          <w:rFonts w:asciiTheme="minorBidi" w:hAnsiTheme="minorBidi" w:cstheme="minorBidi"/>
          <w:sz w:val="20"/>
          <w:szCs w:val="20"/>
          <w:lang w:bidi="fr-FR"/>
        </w:rPr>
        <w:t xml:space="preserve">L’Agence des ressources naturelles du Vermont (ANR) gère ses programmes, services et activités sans discrimination fondée sur la race, la religion, la croyance, la couleur, l’origine nationale (y compris en cas </w:t>
      </w:r>
      <w:r w:rsidRPr="006E6E45">
        <w:rPr>
          <w:rFonts w:asciiTheme="minorBidi" w:hAnsiTheme="minorBidi" w:cstheme="minorBidi"/>
          <w:sz w:val="20"/>
          <w:szCs w:val="20"/>
          <w:lang w:bidi="fr-FR"/>
        </w:rPr>
        <w:lastRenderedPageBreak/>
        <w:t>de maîtrise limitée de l’anglais), l’ascendance, le lieu de naissance, le handicap, l’âge, l’état civil, le sexe, l’orientation sexuelle, l’identité de genre ou l’allaitement (mère et enfant).</w:t>
      </w:r>
    </w:p>
    <w:p w14:paraId="35266833" w14:textId="77F0E6F3" w:rsidR="005A4388" w:rsidRPr="006E6E45" w:rsidRDefault="005A4388" w:rsidP="005A4388">
      <w:pPr>
        <w:pStyle w:val="BodyText"/>
        <w:ind w:right="113"/>
        <w:rPr>
          <w:rFonts w:asciiTheme="minorBidi" w:hAnsiTheme="minorBidi" w:cstheme="minorBidi"/>
          <w:sz w:val="20"/>
          <w:szCs w:val="20"/>
        </w:rPr>
      </w:pPr>
    </w:p>
    <w:p w14:paraId="1F5FEA7C" w14:textId="58F7293C" w:rsidR="00DC2AA6" w:rsidRPr="006E6E45" w:rsidRDefault="00521F5C" w:rsidP="005A4388">
      <w:pPr>
        <w:pStyle w:val="BodyText"/>
        <w:ind w:right="113"/>
        <w:rPr>
          <w:rFonts w:asciiTheme="minorBidi" w:hAnsiTheme="minorBidi" w:cstheme="minorBidi"/>
          <w:b/>
          <w:bCs/>
          <w:sz w:val="20"/>
          <w:szCs w:val="20"/>
        </w:rPr>
      </w:pPr>
      <w:r w:rsidRPr="00AC4125">
        <w:rPr>
          <w:rFonts w:cs="Myanmar Text"/>
          <w:noProof/>
          <w:sz w:val="16"/>
          <w:szCs w:val="16"/>
          <w:cs/>
          <w:lang w:bidi="my-MM"/>
        </w:rPr>
        <w:drawing>
          <wp:anchor distT="0" distB="0" distL="114300" distR="114300" simplePos="0" relativeHeight="251657216" behindDoc="1" locked="0" layoutInCell="1" allowOverlap="1" wp14:anchorId="66700EC4" wp14:editId="6459674D">
            <wp:simplePos x="0" y="0"/>
            <wp:positionH relativeFrom="column">
              <wp:posOffset>46990</wp:posOffset>
            </wp:positionH>
            <wp:positionV relativeFrom="paragraph">
              <wp:posOffset>138430</wp:posOffset>
            </wp:positionV>
            <wp:extent cx="6070600" cy="1234440"/>
            <wp:effectExtent l="0" t="0" r="6350" b="3810"/>
            <wp:wrapNone/>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070600" cy="1234440"/>
                    </a:xfrm>
                    <a:prstGeom prst="rect">
                      <a:avLst/>
                    </a:prstGeom>
                  </pic:spPr>
                </pic:pic>
              </a:graphicData>
            </a:graphic>
          </wp:anchor>
        </w:drawing>
      </w:r>
      <w:r w:rsidRPr="006E6E45">
        <w:rPr>
          <w:rFonts w:asciiTheme="minorBidi" w:hAnsiTheme="minorBidi" w:cstheme="minorBidi"/>
          <w:b/>
          <w:sz w:val="20"/>
          <w:szCs w:val="20"/>
          <w:lang w:bidi="fr-FR"/>
        </w:rPr>
        <w:t>Avis relatif à l’accès linguistique :</w:t>
      </w:r>
    </w:p>
    <w:p w14:paraId="1627A205" w14:textId="39F0764D" w:rsidR="00DC2AA6" w:rsidRPr="006E6E45" w:rsidRDefault="00DC2AA6" w:rsidP="005A4388">
      <w:pPr>
        <w:pStyle w:val="BodyText"/>
        <w:spacing w:line="246" w:lineRule="exact"/>
        <w:rPr>
          <w:rFonts w:asciiTheme="minorBidi" w:hAnsiTheme="minorBidi" w:cstheme="minorBidi"/>
          <w:sz w:val="20"/>
          <w:szCs w:val="20"/>
        </w:rPr>
      </w:pPr>
    </w:p>
    <w:sectPr w:rsidR="00DC2AA6" w:rsidRPr="006E6E45" w:rsidSect="005A4388">
      <w:type w:val="continuous"/>
      <w:pgSz w:w="12240" w:h="15840"/>
      <w:pgMar w:top="720" w:right="1340" w:bottom="1276"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3E67" w14:textId="77777777" w:rsidR="007C6D92" w:rsidRDefault="007C6D92" w:rsidP="00396971">
      <w:r>
        <w:separator/>
      </w:r>
    </w:p>
  </w:endnote>
  <w:endnote w:type="continuationSeparator" w:id="0">
    <w:p w14:paraId="3DCF527D" w14:textId="77777777" w:rsidR="007C6D92" w:rsidRDefault="007C6D92" w:rsidP="0039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3785" w14:textId="77777777" w:rsidR="007C6D92" w:rsidRDefault="007C6D92" w:rsidP="00396971">
      <w:r>
        <w:separator/>
      </w:r>
    </w:p>
  </w:footnote>
  <w:footnote w:type="continuationSeparator" w:id="0">
    <w:p w14:paraId="6901AF7A" w14:textId="77777777" w:rsidR="007C6D92" w:rsidRDefault="007C6D92" w:rsidP="00396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2AA6"/>
    <w:rsid w:val="0002152B"/>
    <w:rsid w:val="001B5B1A"/>
    <w:rsid w:val="00396971"/>
    <w:rsid w:val="004C6711"/>
    <w:rsid w:val="00521F5C"/>
    <w:rsid w:val="005A4388"/>
    <w:rsid w:val="006E6E45"/>
    <w:rsid w:val="007C6D92"/>
    <w:rsid w:val="00D91663"/>
    <w:rsid w:val="00DC2AA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72C7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2231" w:right="2236"/>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971"/>
    <w:pPr>
      <w:tabs>
        <w:tab w:val="center" w:pos="4419"/>
        <w:tab w:val="right" w:pos="8838"/>
      </w:tabs>
    </w:pPr>
  </w:style>
  <w:style w:type="character" w:customStyle="1" w:styleId="HeaderChar">
    <w:name w:val="Header Char"/>
    <w:basedOn w:val="DefaultParagraphFont"/>
    <w:link w:val="Header"/>
    <w:uiPriority w:val="99"/>
    <w:rsid w:val="00396971"/>
    <w:rPr>
      <w:rFonts w:ascii="Arial MT" w:eastAsia="Arial MT" w:hAnsi="Arial MT" w:cs="Arial MT"/>
    </w:rPr>
  </w:style>
  <w:style w:type="paragraph" w:styleId="Footer">
    <w:name w:val="footer"/>
    <w:basedOn w:val="Normal"/>
    <w:link w:val="FooterChar"/>
    <w:uiPriority w:val="99"/>
    <w:unhideWhenUsed/>
    <w:rsid w:val="00396971"/>
    <w:pPr>
      <w:tabs>
        <w:tab w:val="center" w:pos="4419"/>
        <w:tab w:val="right" w:pos="8838"/>
      </w:tabs>
    </w:pPr>
  </w:style>
  <w:style w:type="character" w:customStyle="1" w:styleId="FooterChar">
    <w:name w:val="Footer Char"/>
    <w:basedOn w:val="DefaultParagraphFont"/>
    <w:link w:val="Footer"/>
    <w:uiPriority w:val="99"/>
    <w:rsid w:val="00396971"/>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vermont.gov/Flood"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Tim.Cropley@vermont.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EACBF6B5-E5A8-4421-B430-9F24868FDEC9}"/>
</file>

<file path=customXml/itemProps2.xml><?xml version="1.0" encoding="utf-8"?>
<ds:datastoreItem xmlns:ds="http://schemas.openxmlformats.org/officeDocument/2006/customXml" ds:itemID="{44C5346F-5483-4E15-A633-36F75C0053C1}"/>
</file>

<file path=customXml/itemProps3.xml><?xml version="1.0" encoding="utf-8"?>
<ds:datastoreItem xmlns:ds="http://schemas.openxmlformats.org/officeDocument/2006/customXml" ds:itemID="{00A25737-99C4-44C2-B059-0A50E1E74A73}"/>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2853</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2023-07-18T16:09:00Z</dcterms:created>
  <dcterms:modified xsi:type="dcterms:W3CDTF">2023-07-19T18:50:00Z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