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4511" w14:textId="77777777" w:rsidR="00F21994" w:rsidRPr="0052595F" w:rsidRDefault="00F21994">
      <w:pPr>
        <w:pStyle w:val="BodyText"/>
        <w:bidi/>
        <w:spacing w:before="2"/>
        <w:rPr>
          <w:sz w:val="16"/>
        </w:rPr>
      </w:pPr>
    </w:p>
    <w:p w14:paraId="5334761D" w14:textId="77777777" w:rsidR="00F21994" w:rsidRPr="0052595F" w:rsidRDefault="00000000">
      <w:pPr>
        <w:pStyle w:val="Title"/>
        <w:bidi/>
      </w:pPr>
      <w:bookmarkStart w:id="0" w:name="Public_Water_Notices"/>
      <w:bookmarkEnd w:id="0"/>
      <w:r w:rsidRPr="0052595F">
        <w:rPr>
          <w:color w:val="2F2F2F"/>
          <w:rtl/>
          <w:lang w:eastAsia="ar" w:bidi="ar-MA"/>
        </w:rPr>
        <w:t>إشعارات المياه العامة</w:t>
      </w:r>
    </w:p>
    <w:p w14:paraId="1EA427AE" w14:textId="77777777" w:rsidR="00F21994" w:rsidRPr="0052595F" w:rsidRDefault="00000000">
      <w:pPr>
        <w:pStyle w:val="BodyText"/>
        <w:bidi/>
        <w:spacing w:before="250"/>
        <w:ind w:left="100" w:right="100"/>
      </w:pPr>
      <w:r w:rsidRPr="0052595F">
        <w:rPr>
          <w:color w:val="2F2F2F"/>
          <w:rtl/>
          <w:lang w:eastAsia="ar" w:bidi="ar-MA"/>
        </w:rPr>
        <w:t>إذا تم وضع نظام المياه العامة الخاص بك على قائمة "ضرورة غلي المياه" أو "التحذير من تناول المياه"، فيجب أن تتلقى إشعارًا من نظام المياه يحتوي على معلومات محددة عن الموقف وإرشادات حول كيفية التعامل مع الأمر. اتبع التعليمات الواردة في هذا الإشعار. إذا لم تكن قد تلقيت إشعارًا أو لديك أي أسئلة حول المياه الخاصة بك، فيُرجى الاتصال بنظام إدارة المياه (راجع فاتورة المياه للحصول على معلومات الاتصال).</w:t>
      </w:r>
    </w:p>
    <w:p w14:paraId="1A92FC54" w14:textId="77777777" w:rsidR="00F21994" w:rsidRPr="0052595F" w:rsidRDefault="00F21994">
      <w:pPr>
        <w:pStyle w:val="BodyText"/>
        <w:bidi/>
        <w:spacing w:before="10"/>
        <w:rPr>
          <w:sz w:val="20"/>
        </w:rPr>
      </w:pPr>
    </w:p>
    <w:p w14:paraId="13E6EC40" w14:textId="498CF785" w:rsidR="00F21994" w:rsidRPr="0052595F" w:rsidRDefault="00000000" w:rsidP="0062308D">
      <w:pPr>
        <w:pStyle w:val="BodyText"/>
        <w:bidi/>
        <w:ind w:left="100" w:right="-284"/>
      </w:pPr>
      <w:r w:rsidRPr="0052595F">
        <w:rPr>
          <w:color w:val="2F2F2F"/>
          <w:rtl/>
          <w:lang w:eastAsia="ar" w:bidi="ar-MA"/>
        </w:rPr>
        <w:t xml:space="preserve">كما يمكنك مراجعة </w:t>
      </w:r>
      <w:hyperlink r:id="rId7">
        <w:r w:rsidRPr="0052595F">
          <w:rPr>
            <w:color w:val="0462C1"/>
            <w:u w:val="single" w:color="0462C1"/>
            <w:rtl/>
            <w:lang w:eastAsia="ar" w:bidi="ar-MA"/>
          </w:rPr>
          <w:t>القائمة العامة لإشعار "ضرورة غلي المياه" و"التحذير من تناول المياه"</w:t>
        </w:r>
        <w:r w:rsidRPr="0052595F">
          <w:rPr>
            <w:color w:val="0462C1"/>
            <w:rtl/>
            <w:lang w:eastAsia="ar" w:bidi="ar-MA"/>
          </w:rPr>
          <w:t xml:space="preserve"> </w:t>
        </w:r>
      </w:hyperlink>
      <w:r w:rsidRPr="0052595F">
        <w:rPr>
          <w:color w:val="2F2F2F"/>
          <w:rtl/>
          <w:lang w:eastAsia="ar" w:bidi="ar-MA"/>
        </w:rPr>
        <w:t>المقدمة من إدارة الحفاظ على البيئة (</w:t>
      </w:r>
      <w:r w:rsidRPr="0052595F">
        <w:rPr>
          <w:color w:val="2F2F2F"/>
          <w:lang w:eastAsia="ar" w:bidi="en-US"/>
        </w:rPr>
        <w:t>DEC</w:t>
      </w:r>
      <w:r w:rsidRPr="0052595F">
        <w:rPr>
          <w:color w:val="2F2F2F"/>
          <w:rtl/>
          <w:lang w:eastAsia="ar" w:bidi="ar-MA"/>
        </w:rPr>
        <w:t>).</w:t>
      </w:r>
    </w:p>
    <w:p w14:paraId="1D01FC8A" w14:textId="45873DCC" w:rsidR="00F21994" w:rsidRPr="0052595F" w:rsidRDefault="0062308D">
      <w:pPr>
        <w:pStyle w:val="BodyText"/>
        <w:bidi/>
        <w:spacing w:before="9"/>
        <w:rPr>
          <w:sz w:val="20"/>
        </w:rPr>
      </w:pPr>
      <w:r w:rsidRPr="0052595F">
        <w:rPr>
          <w:noProof/>
          <w:rtl/>
          <w:lang w:eastAsia="ar" w:bidi="ar-MA"/>
        </w:rPr>
        <w:drawing>
          <wp:anchor distT="0" distB="0" distL="0" distR="0" simplePos="0" relativeHeight="251657728" behindDoc="0" locked="0" layoutInCell="1" allowOverlap="1" wp14:anchorId="63C99448" wp14:editId="2C067368">
            <wp:simplePos x="0" y="0"/>
            <wp:positionH relativeFrom="page">
              <wp:posOffset>6675529</wp:posOffset>
            </wp:positionH>
            <wp:positionV relativeFrom="paragraph">
              <wp:posOffset>150332</wp:posOffset>
            </wp:positionV>
            <wp:extent cx="413886" cy="365759"/>
            <wp:effectExtent l="0" t="0" r="0" b="0"/>
            <wp:wrapNone/>
            <wp:docPr id="5" name="image3.png"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13886" cy="365759"/>
                    </a:xfrm>
                    <a:prstGeom prst="rect">
                      <a:avLst/>
                    </a:prstGeom>
                  </pic:spPr>
                </pic:pic>
              </a:graphicData>
            </a:graphic>
          </wp:anchor>
        </w:drawing>
      </w:r>
    </w:p>
    <w:p w14:paraId="7041F0D4" w14:textId="705A96D2" w:rsidR="00F21994" w:rsidRPr="0052595F" w:rsidRDefault="00000000">
      <w:pPr>
        <w:pStyle w:val="BodyText"/>
        <w:bidi/>
        <w:ind w:left="1001" w:right="294"/>
      </w:pPr>
      <w:r w:rsidRPr="0052595F">
        <w:rPr>
          <w:color w:val="2F2F2F"/>
          <w:rtl/>
          <w:lang w:eastAsia="ar" w:bidi="ar-MA"/>
        </w:rPr>
        <w:t xml:space="preserve">"ضرورة غلي الماء" يسمح لك باستخدام الماء بعد الغليان حسب الاستخدامات المذكورة أدناه. </w:t>
      </w:r>
      <w:r w:rsidR="0062308D">
        <w:rPr>
          <w:color w:val="2F2F2F"/>
          <w:lang w:eastAsia="ar" w:bidi="ar-MA"/>
        </w:rPr>
        <w:br/>
      </w:r>
      <w:r w:rsidRPr="0052595F">
        <w:rPr>
          <w:color w:val="2F2F2F"/>
          <w:rtl/>
          <w:lang w:eastAsia="ar" w:bidi="ar-MA"/>
        </w:rPr>
        <w:t>تعني عبارة "التحذير من تناول المياه" أنه لا يمكنك استخدام الماء في الاستخدامات المذكورة أدناه.</w:t>
      </w:r>
    </w:p>
    <w:p w14:paraId="2CC0E5C9" w14:textId="77777777" w:rsidR="00F21994" w:rsidRPr="0052595F" w:rsidRDefault="00F21994">
      <w:pPr>
        <w:pStyle w:val="BodyText"/>
        <w:bidi/>
        <w:rPr>
          <w:sz w:val="21"/>
        </w:rPr>
      </w:pPr>
    </w:p>
    <w:p w14:paraId="7F3C11BA" w14:textId="77777777" w:rsidR="00F21994" w:rsidRPr="0052595F" w:rsidRDefault="00000000">
      <w:pPr>
        <w:pStyle w:val="Heading1"/>
        <w:bidi/>
        <w:rPr>
          <w:rFonts w:ascii="Arial MT" w:hAnsi="Arial MT"/>
        </w:rPr>
      </w:pPr>
      <w:r w:rsidRPr="0052595F">
        <w:rPr>
          <w:color w:val="007940"/>
          <w:rtl/>
          <w:lang w:eastAsia="ar" w:bidi="ar-MA"/>
        </w:rPr>
        <w:t>ما المقصود بإشعار ضرورة غلي المياه؟</w:t>
      </w:r>
    </w:p>
    <w:p w14:paraId="3E81183D" w14:textId="77777777" w:rsidR="00F21994" w:rsidRPr="0052595F" w:rsidRDefault="00000000">
      <w:pPr>
        <w:bidi/>
        <w:spacing w:before="240"/>
        <w:ind w:left="100"/>
        <w:rPr>
          <w:sz w:val="24"/>
        </w:rPr>
      </w:pPr>
      <w:r w:rsidRPr="0052595F">
        <w:rPr>
          <w:b/>
          <w:bCs/>
          <w:color w:val="2F2F2F"/>
          <w:sz w:val="24"/>
          <w:szCs w:val="24"/>
          <w:rtl/>
          <w:lang w:eastAsia="ar" w:bidi="ar-MA"/>
        </w:rPr>
        <w:t>لا تشرب الماء قبل غليه أولاً.</w:t>
      </w:r>
      <w:r w:rsidRPr="0052595F">
        <w:rPr>
          <w:color w:val="2F2F2F"/>
          <w:sz w:val="24"/>
          <w:szCs w:val="24"/>
          <w:rtl/>
          <w:lang w:eastAsia="ar" w:bidi="ar-MA"/>
        </w:rPr>
        <w:t xml:space="preserve"> يمكن استخدام المياه المغلية أو المعبأة في زجاجات لـ:</w:t>
      </w:r>
    </w:p>
    <w:p w14:paraId="798BA5D0" w14:textId="77777777" w:rsidR="00F21994" w:rsidRPr="0052595F" w:rsidRDefault="00F21994">
      <w:pPr>
        <w:pStyle w:val="BodyText"/>
        <w:bidi/>
        <w:rPr>
          <w:sz w:val="12"/>
        </w:rPr>
      </w:pPr>
    </w:p>
    <w:p w14:paraId="7D650B9A" w14:textId="77777777" w:rsidR="00F21994" w:rsidRPr="0052595F" w:rsidRDefault="00F21994">
      <w:pPr>
        <w:bidi/>
        <w:rPr>
          <w:sz w:val="12"/>
        </w:rPr>
        <w:sectPr w:rsidR="00F21994" w:rsidRPr="0052595F">
          <w:headerReference w:type="default" r:id="rId9"/>
          <w:footerReference w:type="default" r:id="rId10"/>
          <w:type w:val="continuous"/>
          <w:pgSz w:w="12240" w:h="15840"/>
          <w:pgMar w:top="1560" w:right="1000" w:bottom="1220" w:left="980" w:header="720" w:footer="1036" w:gutter="0"/>
          <w:pgNumType w:start="1"/>
          <w:cols w:space="720"/>
        </w:sectPr>
      </w:pPr>
    </w:p>
    <w:p w14:paraId="287B1AA4" w14:textId="77777777" w:rsidR="00F21994" w:rsidRPr="0052595F" w:rsidRDefault="00000000">
      <w:pPr>
        <w:pStyle w:val="ListParagraph"/>
        <w:numPr>
          <w:ilvl w:val="0"/>
          <w:numId w:val="1"/>
        </w:numPr>
        <w:tabs>
          <w:tab w:val="left" w:pos="820"/>
          <w:tab w:val="left" w:pos="821"/>
        </w:tabs>
        <w:bidi/>
        <w:spacing w:before="100"/>
        <w:rPr>
          <w:sz w:val="24"/>
        </w:rPr>
      </w:pPr>
      <w:r w:rsidRPr="0052595F">
        <w:rPr>
          <w:color w:val="2F2F2F"/>
          <w:sz w:val="24"/>
          <w:szCs w:val="24"/>
          <w:rtl/>
          <w:lang w:eastAsia="ar" w:bidi="ar-MA"/>
        </w:rPr>
        <w:t>الشرب</w:t>
      </w:r>
    </w:p>
    <w:p w14:paraId="15B9DD9F" w14:textId="77777777" w:rsidR="00F21994" w:rsidRPr="0052595F" w:rsidRDefault="00000000">
      <w:pPr>
        <w:pStyle w:val="ListParagraph"/>
        <w:numPr>
          <w:ilvl w:val="0"/>
          <w:numId w:val="1"/>
        </w:numPr>
        <w:tabs>
          <w:tab w:val="left" w:pos="820"/>
          <w:tab w:val="left" w:pos="821"/>
        </w:tabs>
        <w:bidi/>
        <w:rPr>
          <w:sz w:val="24"/>
        </w:rPr>
      </w:pPr>
      <w:r w:rsidRPr="0052595F">
        <w:rPr>
          <w:color w:val="2F2F2F"/>
          <w:sz w:val="24"/>
          <w:szCs w:val="24"/>
          <w:rtl/>
          <w:lang w:eastAsia="ar" w:bidi="ar-MA"/>
        </w:rPr>
        <w:t>الطبخ وتحضير الطعام</w:t>
      </w:r>
    </w:p>
    <w:p w14:paraId="1677E0A6" w14:textId="77777777" w:rsidR="00F21994" w:rsidRPr="0052595F" w:rsidRDefault="00000000">
      <w:pPr>
        <w:pStyle w:val="ListParagraph"/>
        <w:numPr>
          <w:ilvl w:val="0"/>
          <w:numId w:val="1"/>
        </w:numPr>
        <w:tabs>
          <w:tab w:val="left" w:pos="820"/>
          <w:tab w:val="left" w:pos="821"/>
        </w:tabs>
        <w:bidi/>
        <w:spacing w:before="1"/>
        <w:rPr>
          <w:sz w:val="24"/>
        </w:rPr>
      </w:pPr>
      <w:r w:rsidRPr="0052595F">
        <w:rPr>
          <w:color w:val="2F2F2F"/>
          <w:sz w:val="24"/>
          <w:szCs w:val="24"/>
          <w:rtl/>
          <w:lang w:eastAsia="ar" w:bidi="ar-MA"/>
        </w:rPr>
        <w:t>صنع العصير أو الثلج</w:t>
      </w:r>
    </w:p>
    <w:p w14:paraId="0FF20983" w14:textId="77777777" w:rsidR="00F21994" w:rsidRPr="0052595F" w:rsidRDefault="00000000">
      <w:pPr>
        <w:pStyle w:val="ListParagraph"/>
        <w:numPr>
          <w:ilvl w:val="0"/>
          <w:numId w:val="1"/>
        </w:numPr>
        <w:tabs>
          <w:tab w:val="left" w:pos="820"/>
          <w:tab w:val="left" w:pos="821"/>
        </w:tabs>
        <w:bidi/>
        <w:rPr>
          <w:sz w:val="24"/>
        </w:rPr>
      </w:pPr>
      <w:r w:rsidRPr="0052595F">
        <w:rPr>
          <w:color w:val="2F2F2F"/>
          <w:sz w:val="24"/>
          <w:szCs w:val="24"/>
          <w:rtl/>
          <w:lang w:eastAsia="ar" w:bidi="ar-MA"/>
        </w:rPr>
        <w:t>تنظيف الأسنان</w:t>
      </w:r>
    </w:p>
    <w:p w14:paraId="5363ABD3" w14:textId="77777777" w:rsidR="00F21994" w:rsidRPr="0052595F" w:rsidRDefault="00000000">
      <w:pPr>
        <w:pStyle w:val="ListParagraph"/>
        <w:numPr>
          <w:ilvl w:val="0"/>
          <w:numId w:val="1"/>
        </w:numPr>
        <w:tabs>
          <w:tab w:val="left" w:pos="820"/>
          <w:tab w:val="left" w:pos="821"/>
        </w:tabs>
        <w:bidi/>
        <w:spacing w:before="100"/>
        <w:ind w:left="820"/>
        <w:rPr>
          <w:sz w:val="24"/>
        </w:rPr>
      </w:pPr>
      <w:r w:rsidRPr="0052595F">
        <w:rPr>
          <w:color w:val="2F2F2F"/>
          <w:sz w:val="24"/>
          <w:szCs w:val="24"/>
          <w:rtl/>
          <w:lang w:eastAsia="ar" w:bidi="ar-MA"/>
        </w:rPr>
        <w:br w:type="column"/>
      </w:r>
      <w:r w:rsidRPr="0052595F">
        <w:rPr>
          <w:color w:val="2F2F2F"/>
          <w:sz w:val="24"/>
          <w:szCs w:val="24"/>
          <w:rtl/>
          <w:lang w:eastAsia="ar" w:bidi="ar-MA"/>
        </w:rPr>
        <w:t>غسل الصحون</w:t>
      </w:r>
    </w:p>
    <w:p w14:paraId="31C39133" w14:textId="77777777" w:rsidR="00F21994" w:rsidRPr="0052595F" w:rsidRDefault="00000000">
      <w:pPr>
        <w:pStyle w:val="ListParagraph"/>
        <w:numPr>
          <w:ilvl w:val="0"/>
          <w:numId w:val="1"/>
        </w:numPr>
        <w:tabs>
          <w:tab w:val="left" w:pos="820"/>
          <w:tab w:val="left" w:pos="821"/>
        </w:tabs>
        <w:bidi/>
        <w:ind w:left="820"/>
        <w:rPr>
          <w:sz w:val="24"/>
        </w:rPr>
      </w:pPr>
      <w:r w:rsidRPr="0052595F">
        <w:rPr>
          <w:color w:val="2F2F2F"/>
          <w:sz w:val="24"/>
          <w:szCs w:val="24"/>
          <w:rtl/>
          <w:lang w:eastAsia="ar" w:bidi="ar-MA"/>
        </w:rPr>
        <w:t>إعداد حليب الأطفال/ تنظيف زجاجات الرضاعة</w:t>
      </w:r>
    </w:p>
    <w:p w14:paraId="36A6194F" w14:textId="77777777" w:rsidR="00F21994" w:rsidRPr="0052595F" w:rsidRDefault="00000000">
      <w:pPr>
        <w:pStyle w:val="ListParagraph"/>
        <w:numPr>
          <w:ilvl w:val="0"/>
          <w:numId w:val="1"/>
        </w:numPr>
        <w:tabs>
          <w:tab w:val="left" w:pos="820"/>
          <w:tab w:val="left" w:pos="821"/>
        </w:tabs>
        <w:bidi/>
        <w:spacing w:before="1" w:line="240" w:lineRule="auto"/>
        <w:ind w:left="820"/>
        <w:rPr>
          <w:sz w:val="24"/>
        </w:rPr>
      </w:pPr>
      <w:r w:rsidRPr="0052595F">
        <w:rPr>
          <w:color w:val="2F2F2F"/>
          <w:sz w:val="24"/>
          <w:szCs w:val="24"/>
          <w:rtl/>
          <w:lang w:eastAsia="ar" w:bidi="ar-MA"/>
        </w:rPr>
        <w:t>غسل الفاكهة والخضروات</w:t>
      </w:r>
    </w:p>
    <w:p w14:paraId="1D25C5FE" w14:textId="77777777" w:rsidR="00F21994" w:rsidRPr="0052595F" w:rsidRDefault="00F21994">
      <w:pPr>
        <w:bidi/>
        <w:rPr>
          <w:sz w:val="24"/>
        </w:rPr>
        <w:sectPr w:rsidR="00F21994" w:rsidRPr="0052595F">
          <w:type w:val="continuous"/>
          <w:pgSz w:w="12240" w:h="15840"/>
          <w:pgMar w:top="1560" w:right="1000" w:bottom="1220" w:left="980" w:header="720" w:footer="720" w:gutter="0"/>
          <w:cols w:num="2" w:space="720" w:equalWidth="0">
            <w:col w:w="3973" w:space="1430"/>
            <w:col w:w="4857"/>
          </w:cols>
        </w:sectPr>
      </w:pPr>
    </w:p>
    <w:p w14:paraId="4D295007" w14:textId="77777777" w:rsidR="00F21994" w:rsidRPr="0052595F" w:rsidRDefault="00F21994">
      <w:pPr>
        <w:pStyle w:val="BodyText"/>
        <w:bidi/>
        <w:rPr>
          <w:sz w:val="20"/>
        </w:rPr>
      </w:pPr>
    </w:p>
    <w:p w14:paraId="44F00392" w14:textId="77777777" w:rsidR="00F21994" w:rsidRPr="0052595F" w:rsidRDefault="00F21994">
      <w:pPr>
        <w:pStyle w:val="BodyText"/>
        <w:bidi/>
        <w:rPr>
          <w:sz w:val="17"/>
        </w:rPr>
      </w:pPr>
    </w:p>
    <w:p w14:paraId="46C5C883" w14:textId="77777777" w:rsidR="00F21994" w:rsidRPr="0052595F" w:rsidRDefault="00000000">
      <w:pPr>
        <w:pStyle w:val="BodyText"/>
        <w:bidi/>
        <w:spacing w:before="92"/>
        <w:ind w:left="100" w:right="294"/>
      </w:pPr>
      <w:r w:rsidRPr="0052595F">
        <w:rPr>
          <w:color w:val="2F2F2F"/>
          <w:rtl/>
          <w:lang w:eastAsia="ar" w:bidi="ar-MA"/>
        </w:rPr>
        <w:t>يُغلى الماء بالكامل، اتركه يغلي لمدة دقيقة واحدة، ثم يبرد قبل الاستخدام، أو يمكنك استخدام المياه المعبأة. الغليان يقتل البكتيريا والكائنات الحية الأخرى الموجودة في الماء.</w:t>
      </w:r>
    </w:p>
    <w:p w14:paraId="2CAA2694" w14:textId="77777777" w:rsidR="00F21994" w:rsidRPr="0052595F" w:rsidRDefault="00F21994">
      <w:pPr>
        <w:pStyle w:val="BodyText"/>
        <w:bidi/>
        <w:spacing w:before="8"/>
        <w:rPr>
          <w:sz w:val="20"/>
        </w:rPr>
      </w:pPr>
    </w:p>
    <w:p w14:paraId="1696BF34" w14:textId="77777777" w:rsidR="00F21994" w:rsidRPr="0052595F" w:rsidRDefault="00000000">
      <w:pPr>
        <w:pStyle w:val="BodyText"/>
        <w:bidi/>
        <w:spacing w:before="1"/>
        <w:ind w:left="100"/>
      </w:pPr>
      <w:r w:rsidRPr="0052595F">
        <w:rPr>
          <w:color w:val="2F2F2F"/>
          <w:rtl/>
          <w:lang w:eastAsia="ar" w:bidi="ar-MA"/>
        </w:rPr>
        <w:t>يمكنك استخدام الماء غير المغلي لغسل المراحيض والاستحمام وغسل اليدين.</w:t>
      </w:r>
    </w:p>
    <w:p w14:paraId="3031F3A6" w14:textId="77777777" w:rsidR="00F21994" w:rsidRPr="0052595F" w:rsidRDefault="00F21994">
      <w:pPr>
        <w:pStyle w:val="BodyText"/>
        <w:bidi/>
        <w:spacing w:before="8"/>
        <w:rPr>
          <w:sz w:val="20"/>
        </w:rPr>
      </w:pPr>
    </w:p>
    <w:p w14:paraId="075D0545" w14:textId="77777777" w:rsidR="00F21994" w:rsidRPr="0052595F" w:rsidRDefault="00000000">
      <w:pPr>
        <w:pStyle w:val="BodyText"/>
        <w:bidi/>
        <w:spacing w:before="1" w:line="242" w:lineRule="auto"/>
        <w:ind w:left="100" w:right="155"/>
      </w:pPr>
      <w:r w:rsidRPr="0052595F">
        <w:rPr>
          <w:color w:val="2F2F2F"/>
          <w:rtl/>
          <w:lang w:eastAsia="ar" w:bidi="ar-MA"/>
        </w:rPr>
        <w:t>قد يكون الأشخاص الذين يعانون من ضعف شديد في جهاز المناعة والرضع وبعض كبار السن في خطر متزايد. يجب على هؤلاء الأفراد طلب المشورة بشأن مياه الشرب من مقدمي الرعاية الصحية.</w:t>
      </w:r>
    </w:p>
    <w:p w14:paraId="169FD301" w14:textId="77777777" w:rsidR="00F21994" w:rsidRPr="0052595F" w:rsidRDefault="00F21994">
      <w:pPr>
        <w:pStyle w:val="BodyText"/>
        <w:bidi/>
        <w:spacing w:before="6"/>
        <w:rPr>
          <w:sz w:val="20"/>
        </w:rPr>
      </w:pPr>
    </w:p>
    <w:p w14:paraId="0C6E83EA" w14:textId="77777777" w:rsidR="00F21994" w:rsidRPr="0052595F" w:rsidRDefault="00000000">
      <w:pPr>
        <w:pStyle w:val="Heading1"/>
        <w:bidi/>
        <w:rPr>
          <w:rFonts w:ascii="Arial MT" w:hAnsi="Arial MT"/>
        </w:rPr>
      </w:pPr>
      <w:r w:rsidRPr="0052595F">
        <w:rPr>
          <w:color w:val="007940"/>
          <w:rtl/>
          <w:lang w:eastAsia="ar" w:bidi="ar-MA"/>
        </w:rPr>
        <w:t>ما المقصود بإشعار التحذير من تناول المياه؟</w:t>
      </w:r>
    </w:p>
    <w:p w14:paraId="06C7647B" w14:textId="77777777" w:rsidR="00F21994" w:rsidRPr="0052595F" w:rsidRDefault="00000000">
      <w:pPr>
        <w:bidi/>
        <w:spacing w:before="236"/>
        <w:ind w:left="100"/>
        <w:rPr>
          <w:sz w:val="24"/>
        </w:rPr>
      </w:pPr>
      <w:r w:rsidRPr="0052595F">
        <w:rPr>
          <w:b/>
          <w:bCs/>
          <w:color w:val="2F2F2F"/>
          <w:sz w:val="24"/>
          <w:szCs w:val="24"/>
          <w:rtl/>
          <w:lang w:eastAsia="ar" w:bidi="ar-MA"/>
        </w:rPr>
        <w:t>لا تشرب الماء ولا تغلي الماء.</w:t>
      </w:r>
      <w:r w:rsidRPr="0052595F">
        <w:rPr>
          <w:color w:val="2F2F2F"/>
          <w:sz w:val="24"/>
          <w:szCs w:val="24"/>
          <w:rtl/>
          <w:lang w:eastAsia="ar" w:bidi="ar-MA"/>
        </w:rPr>
        <w:t xml:space="preserve"> يمكن استخدام المياه المعبأة في زجاجات لـ:</w:t>
      </w:r>
    </w:p>
    <w:p w14:paraId="2A666634" w14:textId="77777777" w:rsidR="00F21994" w:rsidRPr="0052595F" w:rsidRDefault="00F21994">
      <w:pPr>
        <w:pStyle w:val="BodyText"/>
        <w:bidi/>
        <w:rPr>
          <w:sz w:val="12"/>
        </w:rPr>
      </w:pPr>
    </w:p>
    <w:p w14:paraId="356B901D" w14:textId="77777777" w:rsidR="00F21994" w:rsidRPr="0052595F" w:rsidRDefault="00F21994">
      <w:pPr>
        <w:bidi/>
        <w:rPr>
          <w:sz w:val="12"/>
        </w:rPr>
        <w:sectPr w:rsidR="00F21994" w:rsidRPr="0052595F">
          <w:type w:val="continuous"/>
          <w:pgSz w:w="12240" w:h="15840"/>
          <w:pgMar w:top="1560" w:right="1000" w:bottom="1220" w:left="980" w:header="720" w:footer="720" w:gutter="0"/>
          <w:cols w:space="720"/>
        </w:sectPr>
      </w:pPr>
    </w:p>
    <w:p w14:paraId="7A847D5A" w14:textId="77777777" w:rsidR="00F21994" w:rsidRPr="0052595F" w:rsidRDefault="00000000">
      <w:pPr>
        <w:pStyle w:val="ListParagraph"/>
        <w:numPr>
          <w:ilvl w:val="0"/>
          <w:numId w:val="1"/>
        </w:numPr>
        <w:tabs>
          <w:tab w:val="left" w:pos="820"/>
          <w:tab w:val="left" w:pos="821"/>
        </w:tabs>
        <w:bidi/>
        <w:spacing w:before="100" w:line="240" w:lineRule="auto"/>
        <w:rPr>
          <w:sz w:val="24"/>
        </w:rPr>
      </w:pPr>
      <w:r w:rsidRPr="0052595F">
        <w:rPr>
          <w:color w:val="2F2F2F"/>
          <w:sz w:val="24"/>
          <w:szCs w:val="24"/>
          <w:rtl/>
          <w:lang w:eastAsia="ar" w:bidi="ar-MA"/>
        </w:rPr>
        <w:t>الشرب</w:t>
      </w:r>
    </w:p>
    <w:p w14:paraId="47C9D736" w14:textId="77777777" w:rsidR="00F21994" w:rsidRPr="0052595F" w:rsidRDefault="00000000">
      <w:pPr>
        <w:pStyle w:val="ListParagraph"/>
        <w:numPr>
          <w:ilvl w:val="0"/>
          <w:numId w:val="1"/>
        </w:numPr>
        <w:tabs>
          <w:tab w:val="left" w:pos="820"/>
          <w:tab w:val="left" w:pos="821"/>
        </w:tabs>
        <w:bidi/>
        <w:spacing w:before="1"/>
        <w:rPr>
          <w:sz w:val="24"/>
        </w:rPr>
      </w:pPr>
      <w:r w:rsidRPr="0052595F">
        <w:rPr>
          <w:color w:val="2F2F2F"/>
          <w:sz w:val="24"/>
          <w:szCs w:val="24"/>
          <w:rtl/>
          <w:lang w:eastAsia="ar" w:bidi="ar-MA"/>
        </w:rPr>
        <w:t>الطبخ وتحضير الطعام</w:t>
      </w:r>
    </w:p>
    <w:p w14:paraId="255213A7" w14:textId="77777777" w:rsidR="00F21994" w:rsidRPr="0052595F" w:rsidRDefault="00000000">
      <w:pPr>
        <w:pStyle w:val="ListParagraph"/>
        <w:numPr>
          <w:ilvl w:val="0"/>
          <w:numId w:val="1"/>
        </w:numPr>
        <w:tabs>
          <w:tab w:val="left" w:pos="820"/>
          <w:tab w:val="left" w:pos="821"/>
        </w:tabs>
        <w:bidi/>
        <w:rPr>
          <w:sz w:val="24"/>
        </w:rPr>
      </w:pPr>
      <w:r w:rsidRPr="0052595F">
        <w:rPr>
          <w:color w:val="2F2F2F"/>
          <w:sz w:val="24"/>
          <w:szCs w:val="24"/>
          <w:rtl/>
          <w:lang w:eastAsia="ar" w:bidi="ar-MA"/>
        </w:rPr>
        <w:t>صنع العصير أو الثلج</w:t>
      </w:r>
    </w:p>
    <w:p w14:paraId="58C8A9C2" w14:textId="77777777" w:rsidR="00F21994" w:rsidRPr="0052595F" w:rsidRDefault="00000000">
      <w:pPr>
        <w:pStyle w:val="ListParagraph"/>
        <w:numPr>
          <w:ilvl w:val="0"/>
          <w:numId w:val="1"/>
        </w:numPr>
        <w:tabs>
          <w:tab w:val="left" w:pos="820"/>
          <w:tab w:val="left" w:pos="821"/>
        </w:tabs>
        <w:bidi/>
        <w:spacing w:before="1" w:line="240" w:lineRule="auto"/>
        <w:rPr>
          <w:sz w:val="24"/>
        </w:rPr>
      </w:pPr>
      <w:r w:rsidRPr="0052595F">
        <w:rPr>
          <w:color w:val="2F2F2F"/>
          <w:sz w:val="24"/>
          <w:szCs w:val="24"/>
          <w:rtl/>
          <w:lang w:eastAsia="ar" w:bidi="ar-MA"/>
        </w:rPr>
        <w:t>تنظيف الأسنان</w:t>
      </w:r>
    </w:p>
    <w:p w14:paraId="25256B3E" w14:textId="77777777" w:rsidR="00F21994" w:rsidRPr="0052595F" w:rsidRDefault="00000000">
      <w:pPr>
        <w:pStyle w:val="ListParagraph"/>
        <w:numPr>
          <w:ilvl w:val="0"/>
          <w:numId w:val="1"/>
        </w:numPr>
        <w:tabs>
          <w:tab w:val="left" w:pos="820"/>
          <w:tab w:val="left" w:pos="821"/>
        </w:tabs>
        <w:bidi/>
        <w:spacing w:before="100" w:line="240" w:lineRule="auto"/>
        <w:ind w:left="820"/>
        <w:rPr>
          <w:sz w:val="24"/>
        </w:rPr>
      </w:pPr>
      <w:r w:rsidRPr="0052595F">
        <w:rPr>
          <w:color w:val="2F2F2F"/>
          <w:sz w:val="24"/>
          <w:szCs w:val="24"/>
          <w:rtl/>
          <w:lang w:eastAsia="ar" w:bidi="ar-MA"/>
        </w:rPr>
        <w:br w:type="column"/>
      </w:r>
      <w:r w:rsidRPr="0052595F">
        <w:rPr>
          <w:color w:val="2F2F2F"/>
          <w:sz w:val="24"/>
          <w:szCs w:val="24"/>
          <w:rtl/>
          <w:lang w:eastAsia="ar" w:bidi="ar-MA"/>
        </w:rPr>
        <w:t>غسل الصحون</w:t>
      </w:r>
    </w:p>
    <w:p w14:paraId="278FF55A" w14:textId="77777777" w:rsidR="00F21994" w:rsidRPr="0052595F" w:rsidRDefault="00000000">
      <w:pPr>
        <w:pStyle w:val="ListParagraph"/>
        <w:numPr>
          <w:ilvl w:val="0"/>
          <w:numId w:val="1"/>
        </w:numPr>
        <w:tabs>
          <w:tab w:val="left" w:pos="820"/>
          <w:tab w:val="left" w:pos="821"/>
        </w:tabs>
        <w:bidi/>
        <w:spacing w:before="1"/>
        <w:ind w:left="820"/>
        <w:rPr>
          <w:sz w:val="24"/>
        </w:rPr>
      </w:pPr>
      <w:r w:rsidRPr="0052595F">
        <w:rPr>
          <w:color w:val="2F2F2F"/>
          <w:sz w:val="24"/>
          <w:szCs w:val="24"/>
          <w:rtl/>
          <w:lang w:eastAsia="ar" w:bidi="ar-MA"/>
        </w:rPr>
        <w:t>إعداد حليب الأطفال/ تنظيف زجاجات الرضاعة</w:t>
      </w:r>
    </w:p>
    <w:p w14:paraId="58C450A4" w14:textId="77777777" w:rsidR="00F21994" w:rsidRPr="0052595F" w:rsidRDefault="00000000">
      <w:pPr>
        <w:pStyle w:val="ListParagraph"/>
        <w:numPr>
          <w:ilvl w:val="0"/>
          <w:numId w:val="1"/>
        </w:numPr>
        <w:tabs>
          <w:tab w:val="left" w:pos="820"/>
          <w:tab w:val="left" w:pos="821"/>
        </w:tabs>
        <w:bidi/>
        <w:ind w:left="820"/>
        <w:rPr>
          <w:sz w:val="24"/>
        </w:rPr>
      </w:pPr>
      <w:r w:rsidRPr="0052595F">
        <w:rPr>
          <w:color w:val="2F2F2F"/>
          <w:sz w:val="24"/>
          <w:szCs w:val="24"/>
          <w:rtl/>
          <w:lang w:eastAsia="ar" w:bidi="ar-MA"/>
        </w:rPr>
        <w:t>غسل الفاكهة والخضروات</w:t>
      </w:r>
    </w:p>
    <w:p w14:paraId="7E568056" w14:textId="77777777" w:rsidR="00F21994" w:rsidRPr="0052595F" w:rsidRDefault="00F21994">
      <w:pPr>
        <w:bidi/>
        <w:spacing w:line="292" w:lineRule="exact"/>
        <w:rPr>
          <w:sz w:val="24"/>
        </w:rPr>
        <w:sectPr w:rsidR="00F21994" w:rsidRPr="0052595F">
          <w:type w:val="continuous"/>
          <w:pgSz w:w="12240" w:h="15840"/>
          <w:pgMar w:top="1560" w:right="1000" w:bottom="1220" w:left="980" w:header="720" w:footer="720" w:gutter="0"/>
          <w:cols w:num="2" w:space="720" w:equalWidth="0">
            <w:col w:w="3973" w:space="1430"/>
            <w:col w:w="4857"/>
          </w:cols>
        </w:sectPr>
      </w:pPr>
    </w:p>
    <w:p w14:paraId="57865E80" w14:textId="77777777" w:rsidR="00F21994" w:rsidRPr="0052595F" w:rsidRDefault="00F21994">
      <w:pPr>
        <w:pStyle w:val="BodyText"/>
        <w:bidi/>
        <w:rPr>
          <w:sz w:val="20"/>
        </w:rPr>
      </w:pPr>
    </w:p>
    <w:p w14:paraId="43AD5E78" w14:textId="77777777" w:rsidR="00F21994" w:rsidRPr="0052595F" w:rsidRDefault="00000000">
      <w:pPr>
        <w:pStyle w:val="BodyText"/>
        <w:bidi/>
        <w:spacing w:before="92" w:line="242" w:lineRule="auto"/>
        <w:ind w:left="100" w:right="401"/>
      </w:pPr>
      <w:r w:rsidRPr="0052595F">
        <w:rPr>
          <w:color w:val="2F2F2F"/>
          <w:rtl/>
          <w:lang w:eastAsia="ar" w:bidi="ar-MA"/>
        </w:rPr>
        <w:t>استخدم المياه من مصدر بديل بجودة مياه مناسبة أو استخدم المياه المعبأة في زجاجات. لا تغلي الماء. يمكن أن يتسبب الغليان المفرط في زيادة تركيز بعض الملوثات.</w:t>
      </w:r>
    </w:p>
    <w:p w14:paraId="6D0DF955" w14:textId="77777777" w:rsidR="00F21994" w:rsidRPr="0052595F" w:rsidRDefault="00F21994">
      <w:pPr>
        <w:bidi/>
        <w:spacing w:line="242" w:lineRule="auto"/>
        <w:sectPr w:rsidR="00F21994" w:rsidRPr="0052595F">
          <w:type w:val="continuous"/>
          <w:pgSz w:w="12240" w:h="15840"/>
          <w:pgMar w:top="1560" w:right="1000" w:bottom="1220" w:left="980" w:header="720" w:footer="720" w:gutter="0"/>
          <w:cols w:space="720"/>
        </w:sectPr>
      </w:pPr>
    </w:p>
    <w:p w14:paraId="4C23269E" w14:textId="77777777" w:rsidR="00F21994" w:rsidRPr="0052595F" w:rsidRDefault="00F21994">
      <w:pPr>
        <w:pStyle w:val="BodyText"/>
        <w:bidi/>
        <w:rPr>
          <w:sz w:val="16"/>
        </w:rPr>
      </w:pPr>
    </w:p>
    <w:p w14:paraId="7B8D553C" w14:textId="77777777" w:rsidR="00F21994" w:rsidRPr="0052595F" w:rsidRDefault="00000000">
      <w:pPr>
        <w:pStyle w:val="BodyText"/>
        <w:bidi/>
        <w:spacing w:before="92"/>
        <w:ind w:left="100"/>
      </w:pPr>
      <w:r w:rsidRPr="0052595F">
        <w:rPr>
          <w:color w:val="2F2F2F"/>
          <w:rtl/>
          <w:lang w:eastAsia="ar" w:bidi="ar-MA"/>
        </w:rPr>
        <w:t>يمكنك استخدام الماء لغسل المراحيض والاستحمام وغسل اليدين.</w:t>
      </w:r>
    </w:p>
    <w:p w14:paraId="780BD6D4" w14:textId="77777777" w:rsidR="00F21994" w:rsidRPr="0052595F" w:rsidRDefault="00F21994">
      <w:pPr>
        <w:pStyle w:val="BodyText"/>
        <w:bidi/>
        <w:spacing w:before="9"/>
        <w:rPr>
          <w:sz w:val="20"/>
        </w:rPr>
      </w:pPr>
    </w:p>
    <w:p w14:paraId="793D82EA" w14:textId="77777777" w:rsidR="00F21994" w:rsidRPr="0052595F" w:rsidRDefault="00000000">
      <w:pPr>
        <w:pStyle w:val="BodyText"/>
        <w:bidi/>
        <w:spacing w:before="1"/>
        <w:ind w:left="100" w:right="159"/>
      </w:pPr>
      <w:r w:rsidRPr="0052595F">
        <w:rPr>
          <w:color w:val="2F2F2F"/>
          <w:rtl/>
          <w:lang w:eastAsia="ar" w:bidi="ar-MA"/>
        </w:rPr>
        <w:t>قد يكون الأشخاص الذين يعانون من ضعف شديد في جهاز المناعة والرضع وبعض كبار السن في خطر متزايد. يجب على هؤلاء الأفراد طلب المشورة بشأن مياه الشرب من مقدمي الرعاية الصحية.</w:t>
      </w:r>
    </w:p>
    <w:p w14:paraId="47D44D9C" w14:textId="77777777" w:rsidR="00F21994" w:rsidRPr="0052595F" w:rsidRDefault="00F21994">
      <w:pPr>
        <w:pStyle w:val="BodyText"/>
        <w:bidi/>
        <w:spacing w:before="8"/>
        <w:rPr>
          <w:sz w:val="20"/>
        </w:rPr>
      </w:pPr>
    </w:p>
    <w:p w14:paraId="36B2243A" w14:textId="77777777" w:rsidR="00F21994" w:rsidRPr="0052595F" w:rsidRDefault="00000000">
      <w:pPr>
        <w:bidi/>
        <w:ind w:left="100"/>
        <w:rPr>
          <w:b/>
          <w:sz w:val="18"/>
        </w:rPr>
      </w:pPr>
      <w:r w:rsidRPr="0052595F">
        <w:rPr>
          <w:b/>
          <w:bCs/>
          <w:color w:val="2F2F2F"/>
          <w:sz w:val="18"/>
          <w:szCs w:val="18"/>
          <w:rtl/>
          <w:lang w:eastAsia="ar" w:bidi="ar-MA"/>
        </w:rPr>
        <w:t>إشعار عدم التمييز:</w:t>
      </w:r>
    </w:p>
    <w:p w14:paraId="6B2494A4" w14:textId="77777777" w:rsidR="00F21994" w:rsidRPr="0052595F" w:rsidRDefault="00000000">
      <w:pPr>
        <w:bidi/>
        <w:spacing w:before="3"/>
        <w:ind w:left="100" w:right="157"/>
        <w:rPr>
          <w:sz w:val="18"/>
        </w:rPr>
      </w:pPr>
      <w:r w:rsidRPr="0052595F">
        <w:rPr>
          <w:color w:val="2F2F2F"/>
          <w:sz w:val="18"/>
          <w:szCs w:val="18"/>
          <w:rtl/>
          <w:lang w:eastAsia="ar" w:bidi="ar-MA"/>
        </w:rPr>
        <w:t>تدير وكالة فيرمونت للموارد الطبيعية (</w:t>
      </w:r>
      <w:r w:rsidRPr="0052595F">
        <w:rPr>
          <w:color w:val="2F2F2F"/>
          <w:sz w:val="18"/>
          <w:szCs w:val="18"/>
          <w:lang w:eastAsia="ar" w:bidi="en-US"/>
        </w:rPr>
        <w:t>ANR</w:t>
      </w:r>
      <w:r w:rsidRPr="0052595F">
        <w:rPr>
          <w:color w:val="2F2F2F"/>
          <w:sz w:val="18"/>
          <w:szCs w:val="18"/>
          <w:rtl/>
          <w:lang w:eastAsia="ar" w:bidi="ar-MA"/>
        </w:rPr>
        <w:t>) برامجها وخدماتها وأنشطتها دون تمييز على أساس العرق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75675408" w14:textId="77777777" w:rsidR="00F21994" w:rsidRPr="0052595F" w:rsidRDefault="00F21994">
      <w:pPr>
        <w:pStyle w:val="BodyText"/>
        <w:bidi/>
        <w:spacing w:before="9"/>
        <w:rPr>
          <w:sz w:val="17"/>
        </w:rPr>
      </w:pPr>
    </w:p>
    <w:p w14:paraId="180FABDF" w14:textId="77777777" w:rsidR="00F21994" w:rsidRPr="0052595F" w:rsidRDefault="00000000">
      <w:pPr>
        <w:bidi/>
        <w:ind w:left="100"/>
        <w:rPr>
          <w:b/>
          <w:sz w:val="18"/>
        </w:rPr>
      </w:pPr>
      <w:r w:rsidRPr="0052595F">
        <w:rPr>
          <w:b/>
          <w:bCs/>
          <w:color w:val="2F2F2F"/>
          <w:sz w:val="18"/>
          <w:szCs w:val="18"/>
          <w:rtl/>
          <w:lang w:eastAsia="ar" w:bidi="ar-MA"/>
        </w:rPr>
        <w:t>إشعار الوصول إلى اللغة:</w:t>
      </w:r>
    </w:p>
    <w:p w14:paraId="5957E30C" w14:textId="77777777" w:rsidR="00F21994" w:rsidRDefault="00F21994" w:rsidP="0052595F">
      <w:pPr>
        <w:bidi/>
        <w:spacing w:before="3" w:line="268" w:lineRule="auto"/>
        <w:ind w:left="100"/>
        <w:rPr>
          <w:sz w:val="18"/>
          <w:szCs w:val="18"/>
        </w:rPr>
      </w:pPr>
    </w:p>
    <w:p w14:paraId="512D1A9F" w14:textId="059111F0" w:rsidR="0062308D" w:rsidRPr="0052595F" w:rsidRDefault="0062308D" w:rsidP="0062308D">
      <w:pPr>
        <w:bidi/>
        <w:spacing w:before="3" w:line="268" w:lineRule="auto"/>
        <w:ind w:left="100"/>
        <w:rPr>
          <w:sz w:val="18"/>
          <w:szCs w:val="18"/>
        </w:rPr>
        <w:sectPr w:rsidR="0062308D" w:rsidRPr="0052595F">
          <w:pgSz w:w="12240" w:h="15840"/>
          <w:pgMar w:top="1560" w:right="1000" w:bottom="1220" w:left="980" w:header="720" w:footer="1036" w:gutter="0"/>
          <w:cols w:space="720"/>
        </w:sectPr>
      </w:pPr>
      <w:r w:rsidRPr="00AC4125">
        <w:rPr>
          <w:rFonts w:cs="Myanmar Text"/>
          <w:noProof/>
          <w:sz w:val="16"/>
          <w:szCs w:val="16"/>
          <w:cs/>
          <w:lang w:bidi="my-MM"/>
        </w:rPr>
        <w:drawing>
          <wp:inline distT="0" distB="0" distL="0" distR="0" wp14:anchorId="2969E6A7" wp14:editId="5EC24C90">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1"/>
                    <a:stretch>
                      <a:fillRect/>
                    </a:stretch>
                  </pic:blipFill>
                  <pic:spPr>
                    <a:xfrm>
                      <a:off x="0" y="0"/>
                      <a:ext cx="6070600" cy="1234440"/>
                    </a:xfrm>
                    <a:prstGeom prst="rect">
                      <a:avLst/>
                    </a:prstGeom>
                  </pic:spPr>
                </pic:pic>
              </a:graphicData>
            </a:graphic>
          </wp:inline>
        </w:drawing>
      </w:r>
    </w:p>
    <w:p w14:paraId="36A14464" w14:textId="225D731C" w:rsidR="00F21994" w:rsidRPr="0052595F" w:rsidRDefault="00F21994" w:rsidP="0052595F">
      <w:pPr>
        <w:bidi/>
        <w:spacing w:before="3"/>
        <w:ind w:left="69"/>
        <w:rPr>
          <w:sz w:val="18"/>
          <w:szCs w:val="18"/>
        </w:rPr>
      </w:pPr>
    </w:p>
    <w:sectPr w:rsidR="00F21994" w:rsidRPr="0052595F">
      <w:type w:val="continuous"/>
      <w:pgSz w:w="12240" w:h="15840"/>
      <w:pgMar w:top="1560" w:right="1000" w:bottom="1220" w:left="980" w:header="720" w:footer="720" w:gutter="0"/>
      <w:cols w:num="3" w:space="720" w:equalWidth="0">
        <w:col w:w="6523" w:space="40"/>
        <w:col w:w="440" w:space="39"/>
        <w:col w:w="32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F722" w14:textId="77777777" w:rsidR="002402F3" w:rsidRDefault="002402F3">
      <w:r>
        <w:separator/>
      </w:r>
    </w:p>
  </w:endnote>
  <w:endnote w:type="continuationSeparator" w:id="0">
    <w:p w14:paraId="2101CF9C" w14:textId="77777777" w:rsidR="002402F3" w:rsidRDefault="0024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8855" w14:textId="017F436C" w:rsidR="00F21994" w:rsidRDefault="0062308D">
    <w:pPr>
      <w:pStyle w:val="BodyText"/>
      <w:bidi/>
      <w:spacing w:line="14" w:lineRule="auto"/>
      <w:rPr>
        <w:sz w:val="20"/>
      </w:rPr>
    </w:pPr>
    <w:r>
      <w:rPr>
        <w:noProof/>
        <w:lang w:eastAsia="ar" w:bidi="ar-MA"/>
      </w:rPr>
      <w:pict w14:anchorId="5748225B">
        <v:shapetype id="_x0000_t202" coordsize="21600,21600" o:spt="202" path="m,l,21600r21600,l21600,xe">
          <v:stroke joinstyle="miter"/>
          <v:path gradientshapeok="t" o:connecttype="rect"/>
        </v:shapetype>
        <v:shape id="_x0000_s1025" type="#_x0000_t202" style="position:absolute;left:0;text-align:left;margin-left:298.15pt;margin-top:738.9pt;width:36.95pt;height:15.45pt;z-index:-15791104;mso-position-horizontal-relative:page;mso-position-vertical-relative:page" filled="f" stroked="f">
          <v:textbox inset="0,0,0,0">
            <w:txbxContent>
              <w:p w14:paraId="00F9D5A3" w14:textId="77777777" w:rsidR="00F21994" w:rsidRDefault="00000000">
                <w:pPr>
                  <w:pStyle w:val="BodyText"/>
                  <w:bidi/>
                  <w:spacing w:before="12"/>
                  <w:ind w:left="60"/>
                </w:pPr>
                <w:r>
                  <w:rPr>
                    <w:rtl/>
                    <w:lang w:eastAsia="ar" w:bidi="ar-MA"/>
                  </w:rPr>
                  <w:fldChar w:fldCharType="begin"/>
                </w:r>
                <w:r>
                  <w:rPr>
                    <w:color w:val="2F2F2F"/>
                    <w:rtl/>
                    <w:lang w:eastAsia="ar" w:bidi="ar-MA"/>
                  </w:rPr>
                  <w:instrText xml:space="preserve"> PAGE </w:instrText>
                </w:r>
                <w:r>
                  <w:rPr>
                    <w:rtl/>
                    <w:lang w:eastAsia="ar" w:bidi="ar-MA"/>
                  </w:rPr>
                  <w:fldChar w:fldCharType="separate"/>
                </w:r>
                <w:r>
                  <w:rPr>
                    <w:rtl/>
                    <w:lang w:eastAsia="ar" w:bidi="ar-MA"/>
                  </w:rPr>
                  <w:t>1</w:t>
                </w:r>
                <w:r>
                  <w:rPr>
                    <w:rtl/>
                    <w:lang w:eastAsia="ar" w:bidi="ar-MA"/>
                  </w:rPr>
                  <w:fldChar w:fldCharType="end"/>
                </w:r>
                <w:r>
                  <w:rPr>
                    <w:color w:val="2F2F2F"/>
                    <w:rtl/>
                    <w:lang w:eastAsia="ar" w:bidi="ar-MA"/>
                  </w:rPr>
                  <w:t xml:space="preserve"> من 2</w:t>
                </w:r>
              </w:p>
            </w:txbxContent>
          </v:textbox>
          <w10:wrap anchorx="page" anchory="page"/>
        </v:shape>
      </w:pict>
    </w:r>
    <w:r>
      <w:rPr>
        <w:noProof/>
        <w:rtl/>
        <w:lang w:eastAsia="ar" w:bidi="ar-MA"/>
      </w:rPr>
      <w:drawing>
        <wp:anchor distT="0" distB="0" distL="0" distR="0" simplePos="0" relativeHeight="251661824" behindDoc="1" locked="0" layoutInCell="1" allowOverlap="1" wp14:anchorId="09E19B7F" wp14:editId="531C21D3">
          <wp:simplePos x="0" y="0"/>
          <wp:positionH relativeFrom="page">
            <wp:posOffset>622715</wp:posOffset>
          </wp:positionH>
          <wp:positionV relativeFrom="page">
            <wp:posOffset>9304655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eastAsia="ar" w:bidi="ar-MA"/>
      </w:rPr>
      <w:pict w14:anchorId="24BF3B06">
        <v:shape id="_x0000_s1026" type="#_x0000_t202" style="position:absolute;left:0;text-align:left;margin-left:456.25pt;margin-top:740.15pt;width:105.7pt;height:15.45pt;z-index:-15791616;mso-position-horizontal-relative:page;mso-position-vertical-relative:page" filled="f" stroked="f">
          <v:textbox inset="0,0,0,0">
            <w:txbxContent>
              <w:p w14:paraId="681F876B" w14:textId="77777777" w:rsidR="00F21994" w:rsidRDefault="00000000">
                <w:pPr>
                  <w:pStyle w:val="BodyText"/>
                  <w:bidi/>
                  <w:spacing w:before="12"/>
                  <w:ind w:left="20"/>
                </w:pPr>
                <w:r>
                  <w:rPr>
                    <w:color w:val="2F2F2F"/>
                    <w:rtl/>
                    <w:lang w:eastAsia="ar" w:bidi="ar-MA"/>
                  </w:rPr>
                  <w:t>تاريخ المراجعة: 15/7/2023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1BE2" w14:textId="77777777" w:rsidR="002402F3" w:rsidRDefault="002402F3">
      <w:r>
        <w:separator/>
      </w:r>
    </w:p>
  </w:footnote>
  <w:footnote w:type="continuationSeparator" w:id="0">
    <w:p w14:paraId="6B3CFBB9" w14:textId="77777777" w:rsidR="002402F3" w:rsidRDefault="0024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4E" w14:textId="3323EA22" w:rsidR="00F21994" w:rsidRDefault="0062308D">
    <w:pPr>
      <w:pStyle w:val="BodyText"/>
      <w:bidi/>
      <w:spacing w:line="14" w:lineRule="auto"/>
      <w:rPr>
        <w:sz w:val="20"/>
      </w:rPr>
    </w:pPr>
    <w:r>
      <w:rPr>
        <w:lang w:eastAsia="ar" w:bidi="ar-MA"/>
      </w:rPr>
      <w:pict w14:anchorId="3590AA4A">
        <v:shapetype id="_x0000_t202" coordsize="21600,21600" o:spt="202" path="m,l,21600r21600,l21600,xe">
          <v:stroke joinstyle="miter"/>
          <v:path gradientshapeok="t" o:connecttype="rect"/>
        </v:shapetype>
        <v:shape id="_x0000_s1027" type="#_x0000_t202" style="position:absolute;left:0;text-align:left;margin-left:279.75pt;margin-top:35.4pt;width:255pt;height:29.2pt;z-index:-15792640;mso-position-horizontal-relative:page;mso-position-vertical-relative:page" filled="f" stroked="f">
          <v:textbox inset="0,0,0,0">
            <w:txbxContent>
              <w:p w14:paraId="055ADA59" w14:textId="77777777" w:rsidR="00F21994" w:rsidRDefault="00000000">
                <w:pPr>
                  <w:pStyle w:val="BodyText"/>
                  <w:bidi/>
                  <w:spacing w:before="12" w:line="275" w:lineRule="exact"/>
                  <w:ind w:left="20"/>
                </w:pPr>
                <w:r>
                  <w:rPr>
                    <w:color w:val="2F2F2F"/>
                    <w:rtl/>
                    <w:lang w:eastAsia="ar" w:bidi="ar-MA"/>
                  </w:rPr>
                  <w:t>ولاية فيرمونت، وكالة الموارد الطبيعية</w:t>
                </w:r>
              </w:p>
              <w:p w14:paraId="09774148" w14:textId="77777777" w:rsidR="00F21994" w:rsidRDefault="00000000">
                <w:pPr>
                  <w:bidi/>
                  <w:spacing w:line="275" w:lineRule="exact"/>
                  <w:ind w:left="20"/>
                  <w:rPr>
                    <w:rFonts w:ascii="Arial"/>
                    <w:b/>
                    <w:sz w:val="24"/>
                  </w:rPr>
                </w:pPr>
                <w:r>
                  <w:rPr>
                    <w:b/>
                    <w:bCs/>
                    <w:color w:val="2F2F2F"/>
                    <w:sz w:val="24"/>
                    <w:szCs w:val="24"/>
                    <w:rtl/>
                    <w:lang w:eastAsia="ar" w:bidi="ar-MA"/>
                  </w:rPr>
                  <w:t>موارد التعافي من الفيضانات</w:t>
                </w:r>
              </w:p>
            </w:txbxContent>
          </v:textbox>
          <w10:wrap anchorx="page" anchory="page"/>
        </v:shape>
      </w:pict>
    </w:r>
    <w:r>
      <w:rPr>
        <w:noProof/>
        <w:rtl/>
        <w:lang w:eastAsia="ar" w:bidi="ar-MA"/>
      </w:rPr>
      <w:drawing>
        <wp:anchor distT="0" distB="0" distL="0" distR="0" simplePos="0" relativeHeight="251655680" behindDoc="1" locked="0" layoutInCell="1" allowOverlap="1" wp14:anchorId="5A92B70B" wp14:editId="5A8FD4E4">
          <wp:simplePos x="0" y="0"/>
          <wp:positionH relativeFrom="page">
            <wp:posOffset>6896100</wp:posOffset>
          </wp:positionH>
          <wp:positionV relativeFrom="page">
            <wp:posOffset>470063</wp:posOffset>
          </wp:positionV>
          <wp:extent cx="240665" cy="365125"/>
          <wp:effectExtent l="0" t="0" r="6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665" cy="365125"/>
                  </a:xfrm>
                  <a:prstGeom prst="rect">
                    <a:avLst/>
                  </a:prstGeom>
                </pic:spPr>
              </pic:pic>
            </a:graphicData>
          </a:graphic>
        </wp:anchor>
      </w:drawing>
    </w:r>
    <w:r w:rsidR="00000000">
      <w:rPr>
        <w:lang w:eastAsia="ar" w:bidi="ar-MA"/>
      </w:rPr>
      <w:pict w14:anchorId="0D3E996D">
        <v:shape id="_x0000_s1028" style="position:absolute;left:0;text-align:left;margin-left:54.05pt;margin-top:77.55pt;width:504.25pt;height:.5pt;z-index:-15793152;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EEB"/>
    <w:multiLevelType w:val="hybridMultilevel"/>
    <w:tmpl w:val="A24CA838"/>
    <w:lvl w:ilvl="0" w:tplc="DE1ED632">
      <w:numFmt w:val="bullet"/>
      <w:lvlText w:val=""/>
      <w:lvlJc w:val="left"/>
      <w:pPr>
        <w:ind w:left="821" w:hanging="361"/>
      </w:pPr>
      <w:rPr>
        <w:rFonts w:ascii="Symbol" w:eastAsia="Symbol" w:hAnsi="Symbol" w:cs="Symbol" w:hint="default"/>
        <w:color w:val="2F2F2F"/>
        <w:w w:val="100"/>
        <w:sz w:val="24"/>
        <w:szCs w:val="24"/>
        <w:lang w:val="en-US" w:eastAsia="en-US" w:bidi="ar-SA"/>
      </w:rPr>
    </w:lvl>
    <w:lvl w:ilvl="1" w:tplc="C3E8226E">
      <w:numFmt w:val="bullet"/>
      <w:lvlText w:val="•"/>
      <w:lvlJc w:val="left"/>
      <w:pPr>
        <w:ind w:left="1135" w:hanging="361"/>
      </w:pPr>
      <w:rPr>
        <w:rFonts w:hint="default"/>
        <w:lang w:val="en-US" w:eastAsia="en-US" w:bidi="ar-SA"/>
      </w:rPr>
    </w:lvl>
    <w:lvl w:ilvl="2" w:tplc="16B8E572">
      <w:numFmt w:val="bullet"/>
      <w:lvlText w:val="•"/>
      <w:lvlJc w:val="left"/>
      <w:pPr>
        <w:ind w:left="1450" w:hanging="361"/>
      </w:pPr>
      <w:rPr>
        <w:rFonts w:hint="default"/>
        <w:lang w:val="en-US" w:eastAsia="en-US" w:bidi="ar-SA"/>
      </w:rPr>
    </w:lvl>
    <w:lvl w:ilvl="3" w:tplc="06263ACE">
      <w:numFmt w:val="bullet"/>
      <w:lvlText w:val="•"/>
      <w:lvlJc w:val="left"/>
      <w:pPr>
        <w:ind w:left="1765" w:hanging="361"/>
      </w:pPr>
      <w:rPr>
        <w:rFonts w:hint="default"/>
        <w:lang w:val="en-US" w:eastAsia="en-US" w:bidi="ar-SA"/>
      </w:rPr>
    </w:lvl>
    <w:lvl w:ilvl="4" w:tplc="642C8A60">
      <w:numFmt w:val="bullet"/>
      <w:lvlText w:val="•"/>
      <w:lvlJc w:val="left"/>
      <w:pPr>
        <w:ind w:left="2080" w:hanging="361"/>
      </w:pPr>
      <w:rPr>
        <w:rFonts w:hint="default"/>
        <w:lang w:val="en-US" w:eastAsia="en-US" w:bidi="ar-SA"/>
      </w:rPr>
    </w:lvl>
    <w:lvl w:ilvl="5" w:tplc="EB54A57C">
      <w:numFmt w:val="bullet"/>
      <w:lvlText w:val="•"/>
      <w:lvlJc w:val="left"/>
      <w:pPr>
        <w:ind w:left="2396" w:hanging="361"/>
      </w:pPr>
      <w:rPr>
        <w:rFonts w:hint="default"/>
        <w:lang w:val="en-US" w:eastAsia="en-US" w:bidi="ar-SA"/>
      </w:rPr>
    </w:lvl>
    <w:lvl w:ilvl="6" w:tplc="1728D3EC">
      <w:numFmt w:val="bullet"/>
      <w:lvlText w:val="•"/>
      <w:lvlJc w:val="left"/>
      <w:pPr>
        <w:ind w:left="2711" w:hanging="361"/>
      </w:pPr>
      <w:rPr>
        <w:rFonts w:hint="default"/>
        <w:lang w:val="en-US" w:eastAsia="en-US" w:bidi="ar-SA"/>
      </w:rPr>
    </w:lvl>
    <w:lvl w:ilvl="7" w:tplc="84448D82">
      <w:numFmt w:val="bullet"/>
      <w:lvlText w:val="•"/>
      <w:lvlJc w:val="left"/>
      <w:pPr>
        <w:ind w:left="3026" w:hanging="361"/>
      </w:pPr>
      <w:rPr>
        <w:rFonts w:hint="default"/>
        <w:lang w:val="en-US" w:eastAsia="en-US" w:bidi="ar-SA"/>
      </w:rPr>
    </w:lvl>
    <w:lvl w:ilvl="8" w:tplc="17C403F4">
      <w:numFmt w:val="bullet"/>
      <w:lvlText w:val="•"/>
      <w:lvlJc w:val="left"/>
      <w:pPr>
        <w:ind w:left="3341" w:hanging="361"/>
      </w:pPr>
      <w:rPr>
        <w:rFonts w:hint="default"/>
        <w:lang w:val="en-US" w:eastAsia="en-US" w:bidi="ar-SA"/>
      </w:rPr>
    </w:lvl>
  </w:abstractNum>
  <w:num w:numId="1" w16cid:durableId="103789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1994"/>
    <w:rsid w:val="001A5A44"/>
    <w:rsid w:val="002402F3"/>
    <w:rsid w:val="0052595F"/>
    <w:rsid w:val="005C04C7"/>
    <w:rsid w:val="0062308D"/>
    <w:rsid w:val="00A15698"/>
    <w:rsid w:val="00F2199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CAB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707" w:right="2687"/>
      <w:jc w:val="center"/>
    </w:pPr>
    <w:rPr>
      <w:sz w:val="52"/>
      <w:szCs w:val="52"/>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95F"/>
    <w:pPr>
      <w:tabs>
        <w:tab w:val="center" w:pos="4419"/>
        <w:tab w:val="right" w:pos="8838"/>
      </w:tabs>
    </w:pPr>
  </w:style>
  <w:style w:type="character" w:customStyle="1" w:styleId="HeaderChar">
    <w:name w:val="Header Char"/>
    <w:basedOn w:val="DefaultParagraphFont"/>
    <w:link w:val="Header"/>
    <w:uiPriority w:val="99"/>
    <w:rsid w:val="0052595F"/>
    <w:rPr>
      <w:rFonts w:ascii="Arial MT" w:eastAsia="Arial MT" w:hAnsi="Arial MT" w:cs="Arial MT"/>
    </w:rPr>
  </w:style>
  <w:style w:type="paragraph" w:styleId="Footer">
    <w:name w:val="footer"/>
    <w:basedOn w:val="Normal"/>
    <w:link w:val="FooterChar"/>
    <w:uiPriority w:val="99"/>
    <w:unhideWhenUsed/>
    <w:rsid w:val="0052595F"/>
    <w:pPr>
      <w:tabs>
        <w:tab w:val="center" w:pos="4419"/>
        <w:tab w:val="right" w:pos="8838"/>
      </w:tabs>
    </w:pPr>
  </w:style>
  <w:style w:type="character" w:customStyle="1" w:styleId="FooterChar">
    <w:name w:val="Footer Char"/>
    <w:basedOn w:val="DefaultParagraphFont"/>
    <w:link w:val="Footer"/>
    <w:uiPriority w:val="99"/>
    <w:rsid w:val="0052595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rweb.vt.gov/DEC/DWGWP/license.aspx?Report=Boi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07A0695E-8202-47A6-A81C-FC6F8BDFC450}"/>
</file>

<file path=customXml/itemProps2.xml><?xml version="1.0" encoding="utf-8"?>
<ds:datastoreItem xmlns:ds="http://schemas.openxmlformats.org/officeDocument/2006/customXml" ds:itemID="{2CF61508-CB53-4256-928B-A73E8BD6FC27}"/>
</file>

<file path=customXml/itemProps3.xml><?xml version="1.0" encoding="utf-8"?>
<ds:datastoreItem xmlns:ds="http://schemas.openxmlformats.org/officeDocument/2006/customXml" ds:itemID="{DF42749B-EEB4-4D47-91A2-DB0C3AACCC30}"/>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2023-07-18T16:14:00Z</dcterms:created>
  <dcterms:modified xsi:type="dcterms:W3CDTF">2023-07-19T20:38:00Z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