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511" w14:textId="77777777" w:rsidR="00F21994" w:rsidRPr="0052595F" w:rsidRDefault="00F21994">
      <w:pPr>
        <w:pStyle w:val="BodyText"/>
        <w:bidi/>
        <w:spacing w:before="2"/>
        <w:rPr>
          <w:sz w:val="16"/>
        </w:rPr>
      </w:pPr>
    </w:p>
    <w:p w14:paraId="5334761D" w14:textId="77777777" w:rsidR="00F21994" w:rsidRPr="0052595F" w:rsidRDefault="004B16FA">
      <w:pPr>
        <w:pStyle w:val="Title"/>
        <w:bidi/>
      </w:pPr>
      <w:bookmarkStart w:id="0" w:name="Public_Water_Notices"/>
      <w:bookmarkEnd w:id="0"/>
      <w:r w:rsidRPr="0052595F">
        <w:rPr>
          <w:color w:val="2F2F2F"/>
          <w:rtl/>
          <w:lang w:eastAsia="prs"/>
        </w:rPr>
        <w:t>اعلامیه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عمومی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</w:p>
    <w:p w14:paraId="1EA427AE" w14:textId="77777777" w:rsidR="00F21994" w:rsidRPr="0052595F" w:rsidRDefault="004B16FA">
      <w:pPr>
        <w:pStyle w:val="BodyText"/>
        <w:bidi/>
        <w:spacing w:before="250"/>
        <w:ind w:left="100" w:right="100"/>
      </w:pPr>
      <w:r w:rsidRPr="0052595F">
        <w:rPr>
          <w:color w:val="2F2F2F"/>
          <w:rtl/>
          <w:lang w:eastAsia="prs"/>
        </w:rPr>
        <w:t>اگر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سیستم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عمومی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شما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فهرست</w:t>
      </w:r>
      <w:r w:rsidRPr="0052595F">
        <w:rPr>
          <w:color w:val="2F2F2F"/>
          <w:rtl/>
          <w:lang w:eastAsia="prs" w:bidi="en-US"/>
        </w:rPr>
        <w:t xml:space="preserve"> «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جوشاندنی</w:t>
      </w:r>
      <w:r w:rsidRPr="0052595F">
        <w:rPr>
          <w:color w:val="2F2F2F"/>
          <w:rtl/>
          <w:lang w:eastAsia="prs" w:bidi="en-US"/>
        </w:rPr>
        <w:t xml:space="preserve">» </w:t>
      </w:r>
      <w:r w:rsidRPr="0052595F">
        <w:rPr>
          <w:color w:val="2F2F2F"/>
          <w:rtl/>
          <w:lang w:eastAsia="prs"/>
        </w:rPr>
        <w:t>یا</w:t>
      </w:r>
      <w:r w:rsidRPr="0052595F">
        <w:rPr>
          <w:color w:val="2F2F2F"/>
          <w:rtl/>
          <w:lang w:eastAsia="prs" w:bidi="en-US"/>
        </w:rPr>
        <w:t xml:space="preserve"> «</w:t>
      </w:r>
      <w:r w:rsidRPr="0052595F">
        <w:rPr>
          <w:color w:val="2F2F2F"/>
          <w:rtl/>
          <w:lang w:eastAsia="prs"/>
        </w:rPr>
        <w:t>غیرآشامیدنی</w:t>
      </w:r>
      <w:r w:rsidRPr="0052595F">
        <w:rPr>
          <w:color w:val="2F2F2F"/>
          <w:rtl/>
          <w:lang w:eastAsia="prs" w:bidi="en-US"/>
        </w:rPr>
        <w:t xml:space="preserve">» </w:t>
      </w:r>
      <w:r w:rsidRPr="0052595F">
        <w:rPr>
          <w:color w:val="2F2F2F"/>
          <w:rtl/>
          <w:lang w:eastAsia="prs"/>
        </w:rPr>
        <w:t>قرار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گرفته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سیستم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اخطار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اطلاعات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خاص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مورد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وضعیت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راهنمایی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مورد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نحوه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ادامه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دریافت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 xml:space="preserve">. </w:t>
      </w:r>
      <w:r w:rsidRPr="0052595F">
        <w:rPr>
          <w:color w:val="2F2F2F"/>
          <w:rtl/>
          <w:lang w:eastAsia="prs"/>
        </w:rPr>
        <w:t>دستورالعمل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ارائه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اعلامیه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دنبال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 xml:space="preserve">. </w:t>
      </w:r>
      <w:r w:rsidRPr="0052595F">
        <w:rPr>
          <w:color w:val="2F2F2F"/>
          <w:rtl/>
          <w:lang w:eastAsia="prs"/>
        </w:rPr>
        <w:t>اگر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اعلامیه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دریافت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نکردید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یا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مورد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خود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سوالی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دارید،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لطفا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سیستم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تماس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بگیرید</w:t>
      </w:r>
      <w:r w:rsidRPr="0052595F">
        <w:rPr>
          <w:color w:val="2F2F2F"/>
          <w:rtl/>
          <w:lang w:eastAsia="prs" w:bidi="en-US"/>
        </w:rPr>
        <w:t xml:space="preserve"> (</w:t>
      </w:r>
      <w:r w:rsidRPr="0052595F">
        <w:rPr>
          <w:color w:val="2F2F2F"/>
          <w:rtl/>
          <w:lang w:eastAsia="prs"/>
        </w:rPr>
        <w:t>برای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اطلاعات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تماس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قبض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خود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بررسی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>).</w:t>
      </w:r>
    </w:p>
    <w:p w14:paraId="1A92FC54" w14:textId="77777777" w:rsidR="00F21994" w:rsidRPr="0052595F" w:rsidRDefault="00F21994">
      <w:pPr>
        <w:pStyle w:val="BodyText"/>
        <w:bidi/>
        <w:spacing w:before="10"/>
        <w:rPr>
          <w:sz w:val="20"/>
        </w:rPr>
      </w:pPr>
    </w:p>
    <w:p w14:paraId="13E6EC40" w14:textId="1E5CA158" w:rsidR="00F21994" w:rsidRPr="0052595F" w:rsidRDefault="004B16FA">
      <w:pPr>
        <w:pStyle w:val="BodyText"/>
        <w:bidi/>
        <w:ind w:left="100"/>
      </w:pPr>
      <w:r w:rsidRPr="0052595F">
        <w:rPr>
          <w:color w:val="2F2F2F"/>
          <w:rtl/>
          <w:lang w:eastAsia="prs"/>
        </w:rPr>
        <w:t>همچنین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می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توانید</w:t>
      </w:r>
      <w:r w:rsidRPr="0052595F">
        <w:rPr>
          <w:color w:val="2F2F2F"/>
          <w:rtl/>
          <w:lang w:eastAsia="prs" w:bidi="en-US"/>
        </w:rPr>
        <w:t xml:space="preserve"> </w:t>
      </w:r>
      <w:hyperlink r:id="rId7">
        <w:r w:rsidRPr="0052595F">
          <w:rPr>
            <w:color w:val="0462C1"/>
            <w:u w:val="single" w:color="0462C1"/>
            <w:rtl/>
            <w:lang w:eastAsia="prs"/>
          </w:rPr>
          <w:t>فهرست</w:t>
        </w:r>
        <w:r w:rsidRPr="0052595F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52595F">
          <w:rPr>
            <w:color w:val="0462C1"/>
            <w:u w:val="single" w:color="0462C1"/>
            <w:rtl/>
            <w:lang w:eastAsia="prs"/>
          </w:rPr>
          <w:t>اطلاعیه</w:t>
        </w:r>
        <w:r w:rsidRPr="0052595F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52595F">
          <w:rPr>
            <w:color w:val="0462C1"/>
            <w:u w:val="single" w:color="0462C1"/>
            <w:rtl/>
            <w:lang w:eastAsia="prs"/>
          </w:rPr>
          <w:t>آب</w:t>
        </w:r>
        <w:r w:rsidRPr="0052595F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52595F">
          <w:rPr>
            <w:color w:val="0462C1"/>
            <w:u w:val="single" w:color="0462C1"/>
            <w:rtl/>
            <w:lang w:eastAsia="prs"/>
          </w:rPr>
          <w:t>جوشاندنی</w:t>
        </w:r>
        <w:r w:rsidRPr="0052595F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52595F">
          <w:rPr>
            <w:color w:val="0462C1"/>
            <w:u w:val="single" w:color="0462C1"/>
            <w:rtl/>
            <w:lang w:eastAsia="prs"/>
          </w:rPr>
          <w:t>عمومی</w:t>
        </w:r>
        <w:r w:rsidRPr="0052595F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52595F">
          <w:rPr>
            <w:color w:val="0462C1"/>
            <w:u w:val="single" w:color="0462C1"/>
            <w:rtl/>
            <w:lang w:eastAsia="prs"/>
          </w:rPr>
          <w:t>و</w:t>
        </w:r>
        <w:r w:rsidRPr="0052595F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52595F">
          <w:rPr>
            <w:color w:val="0462C1"/>
            <w:u w:val="single" w:color="0462C1"/>
            <w:rtl/>
            <w:lang w:eastAsia="prs"/>
          </w:rPr>
          <w:t>غیرآشامیدنی</w:t>
        </w:r>
        <w:r w:rsidRPr="0052595F">
          <w:rPr>
            <w:color w:val="0462C1"/>
            <w:rtl/>
            <w:lang w:eastAsia="prs" w:bidi="en-US"/>
          </w:rPr>
          <w:t xml:space="preserve"> </w:t>
        </w:r>
      </w:hyperlink>
      <w:r w:rsidRPr="0052595F">
        <w:rPr>
          <w:color w:val="2F2F2F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توسط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lang w:eastAsia="prs" w:bidi="en-US"/>
        </w:rPr>
        <w:t>DEC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ارائه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بررسی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>.</w:t>
      </w:r>
    </w:p>
    <w:p w14:paraId="1D01FC8A" w14:textId="2BBF9F7C" w:rsidR="00F21994" w:rsidRPr="0052595F" w:rsidRDefault="00F21994">
      <w:pPr>
        <w:pStyle w:val="BodyText"/>
        <w:bidi/>
        <w:spacing w:before="9"/>
        <w:rPr>
          <w:sz w:val="20"/>
        </w:rPr>
      </w:pPr>
    </w:p>
    <w:p w14:paraId="7041F0D4" w14:textId="6D769479" w:rsidR="00F21994" w:rsidRPr="0052595F" w:rsidRDefault="002C78F6">
      <w:pPr>
        <w:pStyle w:val="BodyText"/>
        <w:bidi/>
        <w:ind w:left="1001" w:right="294"/>
      </w:pPr>
      <w:r w:rsidRPr="0052595F">
        <w:rPr>
          <w:noProof/>
          <w:rtl/>
        </w:rPr>
        <w:drawing>
          <wp:anchor distT="0" distB="0" distL="0" distR="0" simplePos="0" relativeHeight="251656192" behindDoc="0" locked="0" layoutInCell="1" allowOverlap="1" wp14:anchorId="63C99448" wp14:editId="5065D85E">
            <wp:simplePos x="0" y="0"/>
            <wp:positionH relativeFrom="page">
              <wp:posOffset>6612154</wp:posOffset>
            </wp:positionH>
            <wp:positionV relativeFrom="paragraph">
              <wp:posOffset>5571</wp:posOffset>
            </wp:positionV>
            <wp:extent cx="413886" cy="365759"/>
            <wp:effectExtent l="0" t="0" r="0" b="0"/>
            <wp:wrapNone/>
            <wp:docPr id="5" name="image3.png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8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95F">
        <w:rPr>
          <w:color w:val="2F2F2F"/>
          <w:rtl/>
          <w:lang w:eastAsia="prs" w:bidi="en-US"/>
        </w:rPr>
        <w:t>«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جوشاندنی</w:t>
      </w:r>
      <w:r w:rsidRPr="0052595F">
        <w:rPr>
          <w:color w:val="2F2F2F"/>
          <w:rtl/>
          <w:lang w:eastAsia="prs" w:bidi="en-US"/>
        </w:rPr>
        <w:t xml:space="preserve">» </w:t>
      </w:r>
      <w:r w:rsidRPr="0052595F">
        <w:rPr>
          <w:color w:val="2F2F2F"/>
          <w:rtl/>
          <w:lang w:eastAsia="prs"/>
        </w:rPr>
        <w:t>به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شما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امکان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موارد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فهرست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زیر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پس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جوشاندن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فراهم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می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کند</w:t>
      </w:r>
      <w:r w:rsidRPr="0052595F">
        <w:rPr>
          <w:color w:val="2F2F2F"/>
          <w:rtl/>
          <w:lang w:eastAsia="prs" w:bidi="en-US"/>
        </w:rPr>
        <w:t>.</w:t>
      </w:r>
      <w:r>
        <w:rPr>
          <w:color w:val="2F2F2F"/>
          <w:lang w:eastAsia="prs" w:bidi="en-US"/>
        </w:rPr>
        <w:br/>
      </w:r>
      <w:r w:rsidRPr="0052595F">
        <w:rPr>
          <w:color w:val="2F2F2F"/>
          <w:rtl/>
          <w:lang w:eastAsia="prs" w:bidi="en-US"/>
        </w:rPr>
        <w:t>«</w:t>
      </w:r>
      <w:r w:rsidRPr="0052595F">
        <w:rPr>
          <w:color w:val="2F2F2F"/>
          <w:rtl/>
          <w:lang w:eastAsia="prs"/>
        </w:rPr>
        <w:t>غیرآشامیدنی</w:t>
      </w:r>
      <w:r w:rsidRPr="0052595F">
        <w:rPr>
          <w:color w:val="2F2F2F"/>
          <w:rtl/>
          <w:lang w:eastAsia="prs" w:bidi="en-US"/>
        </w:rPr>
        <w:t xml:space="preserve">» </w:t>
      </w:r>
      <w:r w:rsidRPr="0052595F">
        <w:rPr>
          <w:color w:val="2F2F2F"/>
          <w:rtl/>
          <w:lang w:eastAsia="prs"/>
        </w:rPr>
        <w:t>بدین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معناست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نمی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توانید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موارد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فهرست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زیر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>.</w:t>
      </w:r>
    </w:p>
    <w:p w14:paraId="2CC0E5C9" w14:textId="77777777" w:rsidR="00F21994" w:rsidRPr="0052595F" w:rsidRDefault="00F21994">
      <w:pPr>
        <w:pStyle w:val="BodyText"/>
        <w:bidi/>
        <w:rPr>
          <w:sz w:val="21"/>
        </w:rPr>
      </w:pPr>
    </w:p>
    <w:p w14:paraId="7F3C11BA" w14:textId="77777777" w:rsidR="00F21994" w:rsidRPr="0052595F" w:rsidRDefault="004B16FA">
      <w:pPr>
        <w:pStyle w:val="Heading1"/>
        <w:bidi/>
        <w:rPr>
          <w:rFonts w:ascii="Arial MT" w:hAnsi="Arial MT"/>
        </w:rPr>
      </w:pPr>
      <w:r w:rsidRPr="0052595F">
        <w:rPr>
          <w:color w:val="007940"/>
          <w:rtl/>
          <w:lang w:eastAsia="prs"/>
        </w:rPr>
        <w:t>اطلاعیه</w:t>
      </w:r>
      <w:r w:rsidRPr="0052595F">
        <w:rPr>
          <w:color w:val="007940"/>
          <w:rtl/>
          <w:lang w:eastAsia="prs" w:bidi="en-US"/>
        </w:rPr>
        <w:t xml:space="preserve"> </w:t>
      </w:r>
      <w:r w:rsidRPr="0052595F">
        <w:rPr>
          <w:color w:val="007940"/>
          <w:rtl/>
          <w:lang w:eastAsia="prs"/>
        </w:rPr>
        <w:t>آب</w:t>
      </w:r>
      <w:r w:rsidRPr="0052595F">
        <w:rPr>
          <w:color w:val="007940"/>
          <w:rtl/>
          <w:lang w:eastAsia="prs" w:bidi="en-US"/>
        </w:rPr>
        <w:t xml:space="preserve"> </w:t>
      </w:r>
      <w:r w:rsidRPr="0052595F">
        <w:rPr>
          <w:color w:val="007940"/>
          <w:rtl/>
          <w:lang w:eastAsia="prs"/>
        </w:rPr>
        <w:t>جوشاندنی</w:t>
      </w:r>
      <w:r w:rsidRPr="0052595F">
        <w:rPr>
          <w:color w:val="007940"/>
          <w:rtl/>
          <w:lang w:eastAsia="prs" w:bidi="en-US"/>
        </w:rPr>
        <w:t xml:space="preserve"> </w:t>
      </w:r>
      <w:r w:rsidRPr="0052595F">
        <w:rPr>
          <w:color w:val="007940"/>
          <w:rtl/>
          <w:lang w:eastAsia="prs"/>
        </w:rPr>
        <w:t>چیست؟</w:t>
      </w:r>
    </w:p>
    <w:p w14:paraId="3E81183D" w14:textId="77777777" w:rsidR="00F21994" w:rsidRPr="0052595F" w:rsidRDefault="004B16FA">
      <w:pPr>
        <w:bidi/>
        <w:spacing w:before="240"/>
        <w:ind w:left="100"/>
        <w:rPr>
          <w:sz w:val="24"/>
        </w:rPr>
      </w:pPr>
      <w:r w:rsidRPr="0052595F">
        <w:rPr>
          <w:b/>
          <w:bCs/>
          <w:color w:val="2F2F2F"/>
          <w:sz w:val="24"/>
          <w:rtl/>
          <w:lang w:eastAsia="prs"/>
        </w:rPr>
        <w:t>آب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را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بدون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اینکه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اول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بجوشانید،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ننوشید</w:t>
      </w:r>
      <w:r w:rsidRPr="0052595F">
        <w:rPr>
          <w:b/>
          <w:bCs/>
          <w:color w:val="2F2F2F"/>
          <w:rtl/>
          <w:lang w:eastAsia="prs" w:bidi="en-US"/>
        </w:rPr>
        <w:t>.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جوشانده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شده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یا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بطری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می</w:t>
      </w:r>
      <w:r w:rsidRPr="0052595F">
        <w:rPr>
          <w:color w:val="2F2F2F"/>
          <w:sz w:val="24"/>
          <w:lang w:eastAsia="prs" w:bidi="en-US"/>
        </w:rPr>
        <w:t>‌</w:t>
      </w:r>
      <w:r w:rsidRPr="0052595F">
        <w:rPr>
          <w:color w:val="2F2F2F"/>
          <w:sz w:val="24"/>
          <w:rtl/>
          <w:lang w:eastAsia="prs"/>
        </w:rPr>
        <w:t>توان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برای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این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موارد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کرد</w:t>
      </w:r>
      <w:r w:rsidRPr="0052595F">
        <w:rPr>
          <w:color w:val="2F2F2F"/>
          <w:rtl/>
          <w:lang w:eastAsia="prs" w:bidi="en-US"/>
        </w:rPr>
        <w:t>:</w:t>
      </w:r>
    </w:p>
    <w:p w14:paraId="798BA5D0" w14:textId="77777777" w:rsidR="00F21994" w:rsidRPr="0052595F" w:rsidRDefault="00F21994">
      <w:pPr>
        <w:pStyle w:val="BodyText"/>
        <w:bidi/>
        <w:rPr>
          <w:sz w:val="12"/>
        </w:rPr>
      </w:pPr>
    </w:p>
    <w:p w14:paraId="7D650B9A" w14:textId="77777777" w:rsidR="00F21994" w:rsidRPr="0052595F" w:rsidRDefault="00F21994">
      <w:pPr>
        <w:bidi/>
        <w:rPr>
          <w:sz w:val="12"/>
        </w:rPr>
        <w:sectPr w:rsidR="00F21994" w:rsidRPr="0052595F">
          <w:headerReference w:type="default" r:id="rId9"/>
          <w:footerReference w:type="default" r:id="rId10"/>
          <w:type w:val="continuous"/>
          <w:pgSz w:w="12240" w:h="15840"/>
          <w:pgMar w:top="1560" w:right="1000" w:bottom="1220" w:left="980" w:header="720" w:footer="1036" w:gutter="0"/>
          <w:pgNumType w:start="1"/>
          <w:cols w:space="720"/>
        </w:sectPr>
      </w:pPr>
    </w:p>
    <w:p w14:paraId="287B1AA4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نوشیدن</w:t>
      </w:r>
    </w:p>
    <w:p w14:paraId="15B9DD9F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پخت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پر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آماده</w:t>
      </w:r>
      <w:r w:rsidRPr="0052595F">
        <w:rPr>
          <w:color w:val="2F2F2F"/>
          <w:sz w:val="24"/>
          <w:lang w:eastAsia="prs" w:bidi="en-US"/>
        </w:rPr>
        <w:t>‌</w:t>
      </w:r>
      <w:r w:rsidRPr="0052595F">
        <w:rPr>
          <w:color w:val="2F2F2F"/>
          <w:sz w:val="24"/>
          <w:rtl/>
          <w:lang w:eastAsia="prs"/>
        </w:rPr>
        <w:t>سازی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غذا</w:t>
      </w:r>
    </w:p>
    <w:p w14:paraId="1677E0A6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درست کردن آبمیوه یا یخ</w:t>
      </w:r>
    </w:p>
    <w:p w14:paraId="0FF20983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مسواک زدن</w:t>
      </w:r>
    </w:p>
    <w:p w14:paraId="5363ABD3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/>
        <w:ind w:left="820"/>
        <w:rPr>
          <w:sz w:val="24"/>
        </w:rPr>
      </w:pPr>
      <w:r w:rsidRPr="0052595F">
        <w:rPr>
          <w:color w:val="2F2F2F"/>
          <w:rtl/>
          <w:lang w:eastAsia="prs" w:bidi="en-US"/>
        </w:rPr>
        <w:br w:type="column"/>
      </w:r>
      <w:r w:rsidRPr="0052595F">
        <w:rPr>
          <w:color w:val="2F2F2F"/>
          <w:sz w:val="24"/>
          <w:rtl/>
          <w:lang w:eastAsia="prs"/>
        </w:rPr>
        <w:t>شستن ظرف</w:t>
      </w:r>
      <w:r w:rsidRPr="0052595F">
        <w:rPr>
          <w:color w:val="2F2F2F"/>
          <w:sz w:val="24"/>
          <w:lang w:eastAsia="prs" w:bidi="en-US"/>
        </w:rPr>
        <w:t>‌</w:t>
      </w:r>
      <w:r w:rsidRPr="0052595F">
        <w:rPr>
          <w:color w:val="2F2F2F"/>
          <w:sz w:val="24"/>
          <w:rtl/>
          <w:lang w:eastAsia="prs"/>
        </w:rPr>
        <w:t>ها</w:t>
      </w:r>
    </w:p>
    <w:p w14:paraId="31C39133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left="820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درست کردن شیر خشک</w:t>
      </w:r>
    </w:p>
    <w:p w14:paraId="36A6194F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 w:line="240" w:lineRule="auto"/>
        <w:ind w:left="820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شستن میوه و سبزیجات</w:t>
      </w:r>
    </w:p>
    <w:p w14:paraId="1D25C5FE" w14:textId="77777777" w:rsidR="00F21994" w:rsidRPr="0052595F" w:rsidRDefault="00F21994">
      <w:pPr>
        <w:bidi/>
        <w:rPr>
          <w:sz w:val="24"/>
        </w:rPr>
        <w:sectPr w:rsidR="00F21994" w:rsidRPr="0052595F">
          <w:type w:val="continuous"/>
          <w:pgSz w:w="12240" w:h="15840"/>
          <w:pgMar w:top="1560" w:right="1000" w:bottom="1220" w:left="980" w:header="720" w:footer="720" w:gutter="0"/>
          <w:cols w:num="2" w:space="720" w:equalWidth="0">
            <w:col w:w="3973" w:space="1430"/>
            <w:col w:w="4857"/>
          </w:cols>
        </w:sectPr>
      </w:pPr>
    </w:p>
    <w:p w14:paraId="4D295007" w14:textId="77777777" w:rsidR="00F21994" w:rsidRPr="0052595F" w:rsidRDefault="00F21994">
      <w:pPr>
        <w:pStyle w:val="BodyText"/>
        <w:bidi/>
        <w:rPr>
          <w:sz w:val="20"/>
        </w:rPr>
      </w:pPr>
    </w:p>
    <w:p w14:paraId="44F00392" w14:textId="77777777" w:rsidR="00F21994" w:rsidRPr="0052595F" w:rsidRDefault="00F21994">
      <w:pPr>
        <w:pStyle w:val="BodyText"/>
        <w:bidi/>
        <w:rPr>
          <w:sz w:val="17"/>
        </w:rPr>
      </w:pPr>
    </w:p>
    <w:p w14:paraId="46C5C883" w14:textId="77777777" w:rsidR="00F21994" w:rsidRPr="0052595F" w:rsidRDefault="004B16FA">
      <w:pPr>
        <w:pStyle w:val="BodyText"/>
        <w:bidi/>
        <w:spacing w:before="92"/>
        <w:ind w:left="100" w:right="294"/>
      </w:pPr>
      <w:r w:rsidRPr="0052595F">
        <w:rPr>
          <w:color w:val="2F2F2F"/>
          <w:rtl/>
          <w:lang w:eastAsia="prs"/>
        </w:rPr>
        <w:t>تمام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نقطه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جوش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برسانید،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بگذارید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یک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دقیقه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بجوشد،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سپس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قبل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نموده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یا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بطری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 xml:space="preserve">. </w:t>
      </w:r>
      <w:r w:rsidRPr="0052595F">
        <w:rPr>
          <w:color w:val="2F2F2F"/>
          <w:rtl/>
          <w:lang w:eastAsia="prs"/>
        </w:rPr>
        <w:t>جوشاندن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باکتری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سایر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ارگانیزم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داخل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می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کشد</w:t>
      </w:r>
      <w:r w:rsidRPr="0052595F">
        <w:rPr>
          <w:color w:val="2F2F2F"/>
          <w:rtl/>
          <w:lang w:eastAsia="prs" w:bidi="en-US"/>
        </w:rPr>
        <w:t>.</w:t>
      </w:r>
    </w:p>
    <w:p w14:paraId="2CAA2694" w14:textId="77777777" w:rsidR="00F21994" w:rsidRPr="0052595F" w:rsidRDefault="00F21994">
      <w:pPr>
        <w:pStyle w:val="BodyText"/>
        <w:bidi/>
        <w:spacing w:before="8"/>
        <w:rPr>
          <w:sz w:val="20"/>
        </w:rPr>
      </w:pPr>
    </w:p>
    <w:p w14:paraId="1696BF34" w14:textId="77777777" w:rsidR="00F21994" w:rsidRPr="0052595F" w:rsidRDefault="004B16FA">
      <w:pPr>
        <w:pStyle w:val="BodyText"/>
        <w:bidi/>
        <w:spacing w:before="1"/>
        <w:ind w:left="100"/>
      </w:pPr>
      <w:r w:rsidRPr="0052595F">
        <w:rPr>
          <w:color w:val="2F2F2F"/>
          <w:rtl/>
          <w:lang w:eastAsia="prs"/>
        </w:rPr>
        <w:t>می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توانید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غیرجوشاندنی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کشیدن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سیفون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توالت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دوش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گرفتن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شستن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دست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>.</w:t>
      </w:r>
    </w:p>
    <w:p w14:paraId="3031F3A6" w14:textId="77777777" w:rsidR="00F21994" w:rsidRPr="0052595F" w:rsidRDefault="00F21994">
      <w:pPr>
        <w:pStyle w:val="BodyText"/>
        <w:bidi/>
        <w:spacing w:before="8"/>
        <w:rPr>
          <w:sz w:val="20"/>
        </w:rPr>
      </w:pPr>
    </w:p>
    <w:p w14:paraId="075D0545" w14:textId="77777777" w:rsidR="00F21994" w:rsidRPr="0052595F" w:rsidRDefault="004B16FA">
      <w:pPr>
        <w:pStyle w:val="BodyText"/>
        <w:bidi/>
        <w:spacing w:before="1" w:line="242" w:lineRule="auto"/>
        <w:ind w:left="100" w:right="155"/>
      </w:pPr>
      <w:r w:rsidRPr="0052595F">
        <w:rPr>
          <w:color w:val="2F2F2F"/>
          <w:rtl/>
          <w:lang w:eastAsia="prs"/>
        </w:rPr>
        <w:t>افراد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مبتلا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سیستم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ایمنی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شدت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ضعیف،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نوزادان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برخی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افراد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مسن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ممکن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معرض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خطر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بیشتری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باشند</w:t>
      </w:r>
      <w:r w:rsidRPr="0052595F">
        <w:rPr>
          <w:color w:val="2F2F2F"/>
          <w:rtl/>
          <w:lang w:eastAsia="prs" w:bidi="en-US"/>
        </w:rPr>
        <w:t xml:space="preserve">. </w:t>
      </w:r>
      <w:r w:rsidRPr="0052595F">
        <w:rPr>
          <w:color w:val="2F2F2F"/>
          <w:rtl/>
          <w:lang w:eastAsia="prs"/>
        </w:rPr>
        <w:t>این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افراد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مورد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آشامیدنی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ارائه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دهندگان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مراقبت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بهداشتی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خود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مشاوره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بگیرند</w:t>
      </w:r>
      <w:r w:rsidRPr="0052595F">
        <w:rPr>
          <w:color w:val="2F2F2F"/>
          <w:rtl/>
          <w:lang w:eastAsia="prs" w:bidi="en-US"/>
        </w:rPr>
        <w:t>.</w:t>
      </w:r>
    </w:p>
    <w:p w14:paraId="169FD301" w14:textId="77777777" w:rsidR="00F21994" w:rsidRPr="0052595F" w:rsidRDefault="00F21994">
      <w:pPr>
        <w:pStyle w:val="BodyText"/>
        <w:bidi/>
        <w:spacing w:before="6"/>
        <w:rPr>
          <w:sz w:val="20"/>
        </w:rPr>
      </w:pPr>
    </w:p>
    <w:p w14:paraId="0C6E83EA" w14:textId="77777777" w:rsidR="00F21994" w:rsidRPr="0052595F" w:rsidRDefault="004B16FA">
      <w:pPr>
        <w:pStyle w:val="Heading1"/>
        <w:bidi/>
        <w:rPr>
          <w:rFonts w:ascii="Arial MT" w:hAnsi="Arial MT"/>
        </w:rPr>
      </w:pPr>
      <w:r w:rsidRPr="0052595F">
        <w:rPr>
          <w:color w:val="007940"/>
          <w:rtl/>
          <w:lang w:eastAsia="prs"/>
        </w:rPr>
        <w:t>اعلامیه</w:t>
      </w:r>
      <w:r w:rsidRPr="0052595F">
        <w:rPr>
          <w:color w:val="007940"/>
          <w:rtl/>
          <w:lang w:eastAsia="prs" w:bidi="en-US"/>
        </w:rPr>
        <w:t xml:space="preserve"> </w:t>
      </w:r>
      <w:r w:rsidRPr="0052595F">
        <w:rPr>
          <w:color w:val="007940"/>
          <w:rtl/>
          <w:lang w:eastAsia="prs"/>
        </w:rPr>
        <w:t>آب</w:t>
      </w:r>
      <w:r w:rsidRPr="0052595F">
        <w:rPr>
          <w:color w:val="007940"/>
          <w:rtl/>
          <w:lang w:eastAsia="prs" w:bidi="en-US"/>
        </w:rPr>
        <w:t xml:space="preserve"> </w:t>
      </w:r>
      <w:r w:rsidRPr="0052595F">
        <w:rPr>
          <w:color w:val="007940"/>
          <w:rtl/>
          <w:lang w:eastAsia="prs"/>
        </w:rPr>
        <w:t>غیرآشامیدنی</w:t>
      </w:r>
      <w:r w:rsidRPr="0052595F">
        <w:rPr>
          <w:color w:val="007940"/>
          <w:rtl/>
          <w:lang w:eastAsia="prs" w:bidi="en-US"/>
        </w:rPr>
        <w:t xml:space="preserve"> </w:t>
      </w:r>
      <w:r w:rsidRPr="0052595F">
        <w:rPr>
          <w:color w:val="007940"/>
          <w:rtl/>
          <w:lang w:eastAsia="prs"/>
        </w:rPr>
        <w:t>چیست؟</w:t>
      </w:r>
    </w:p>
    <w:p w14:paraId="06C7647B" w14:textId="77777777" w:rsidR="00F21994" w:rsidRPr="0052595F" w:rsidRDefault="004B16FA">
      <w:pPr>
        <w:bidi/>
        <w:spacing w:before="236"/>
        <w:ind w:left="100"/>
        <w:rPr>
          <w:sz w:val="24"/>
        </w:rPr>
      </w:pPr>
      <w:r w:rsidRPr="0052595F">
        <w:rPr>
          <w:b/>
          <w:bCs/>
          <w:color w:val="2F2F2F"/>
          <w:sz w:val="24"/>
          <w:rtl/>
          <w:lang w:eastAsia="prs"/>
        </w:rPr>
        <w:t>آب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را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ننوشید،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آب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را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24"/>
          <w:rtl/>
          <w:lang w:eastAsia="prs"/>
        </w:rPr>
        <w:t>نجوشانید</w:t>
      </w:r>
      <w:r w:rsidRPr="0052595F">
        <w:rPr>
          <w:b/>
          <w:bCs/>
          <w:color w:val="2F2F2F"/>
          <w:rtl/>
          <w:lang w:eastAsia="prs" w:bidi="en-US"/>
        </w:rPr>
        <w:t>.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بطری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می</w:t>
      </w:r>
      <w:r w:rsidRPr="0052595F">
        <w:rPr>
          <w:color w:val="2F2F2F"/>
          <w:sz w:val="24"/>
          <w:lang w:eastAsia="prs" w:bidi="en-US"/>
        </w:rPr>
        <w:t>‌</w:t>
      </w:r>
      <w:r w:rsidRPr="0052595F">
        <w:rPr>
          <w:color w:val="2F2F2F"/>
          <w:sz w:val="24"/>
          <w:rtl/>
          <w:lang w:eastAsia="prs"/>
        </w:rPr>
        <w:t>توان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برای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این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موا</w:t>
      </w:r>
      <w:r w:rsidRPr="0052595F">
        <w:rPr>
          <w:color w:val="2F2F2F"/>
          <w:sz w:val="24"/>
          <w:lang w:eastAsia="prs" w:bidi="en-US"/>
        </w:rPr>
        <w:t>‌</w:t>
      </w:r>
      <w:r w:rsidRPr="0052595F">
        <w:rPr>
          <w:color w:val="2F2F2F"/>
          <w:sz w:val="24"/>
          <w:rtl/>
          <w:lang w:eastAsia="prs"/>
        </w:rPr>
        <w:t>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کرد</w:t>
      </w:r>
      <w:r w:rsidRPr="0052595F">
        <w:rPr>
          <w:color w:val="2F2F2F"/>
          <w:rtl/>
          <w:lang w:eastAsia="prs" w:bidi="en-US"/>
        </w:rPr>
        <w:t>:</w:t>
      </w:r>
    </w:p>
    <w:p w14:paraId="2A666634" w14:textId="77777777" w:rsidR="00F21994" w:rsidRPr="0052595F" w:rsidRDefault="00F21994">
      <w:pPr>
        <w:pStyle w:val="BodyText"/>
        <w:bidi/>
        <w:rPr>
          <w:sz w:val="12"/>
        </w:rPr>
      </w:pPr>
    </w:p>
    <w:p w14:paraId="356B901D" w14:textId="77777777" w:rsidR="00F21994" w:rsidRPr="0052595F" w:rsidRDefault="00F21994">
      <w:pPr>
        <w:bidi/>
        <w:rPr>
          <w:sz w:val="12"/>
        </w:rPr>
        <w:sectPr w:rsidR="00F21994" w:rsidRPr="0052595F">
          <w:type w:val="continuous"/>
          <w:pgSz w:w="12240" w:h="15840"/>
          <w:pgMar w:top="1560" w:right="1000" w:bottom="1220" w:left="980" w:header="720" w:footer="720" w:gutter="0"/>
          <w:cols w:space="720"/>
        </w:sectPr>
      </w:pPr>
    </w:p>
    <w:p w14:paraId="7A847D5A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 w:line="240" w:lineRule="auto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نوشیدن</w:t>
      </w:r>
    </w:p>
    <w:p w14:paraId="47C9D736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پخت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پر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آماده</w:t>
      </w:r>
      <w:r w:rsidRPr="0052595F">
        <w:rPr>
          <w:color w:val="2F2F2F"/>
          <w:sz w:val="24"/>
          <w:lang w:eastAsia="prs" w:bidi="en-US"/>
        </w:rPr>
        <w:t>‌</w:t>
      </w:r>
      <w:r w:rsidRPr="0052595F">
        <w:rPr>
          <w:color w:val="2F2F2F"/>
          <w:sz w:val="24"/>
          <w:rtl/>
          <w:lang w:eastAsia="prs"/>
        </w:rPr>
        <w:t>سازی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24"/>
          <w:rtl/>
          <w:lang w:eastAsia="prs"/>
        </w:rPr>
        <w:t>غذا</w:t>
      </w:r>
    </w:p>
    <w:p w14:paraId="255213A7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درست کردن آبمیوه یا یخ</w:t>
      </w:r>
    </w:p>
    <w:p w14:paraId="58C8A9C2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 w:line="240" w:lineRule="auto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مسواک زدن</w:t>
      </w:r>
    </w:p>
    <w:p w14:paraId="25256B3E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 w:line="240" w:lineRule="auto"/>
        <w:ind w:left="820"/>
        <w:rPr>
          <w:sz w:val="24"/>
        </w:rPr>
      </w:pPr>
      <w:r w:rsidRPr="0052595F">
        <w:rPr>
          <w:color w:val="2F2F2F"/>
          <w:rtl/>
          <w:lang w:eastAsia="prs" w:bidi="en-US"/>
        </w:rPr>
        <w:br w:type="column"/>
      </w:r>
      <w:r w:rsidRPr="0052595F">
        <w:rPr>
          <w:color w:val="2F2F2F"/>
          <w:sz w:val="24"/>
          <w:rtl/>
          <w:lang w:eastAsia="prs"/>
        </w:rPr>
        <w:t>شستن ظرف</w:t>
      </w:r>
      <w:r w:rsidRPr="0052595F">
        <w:rPr>
          <w:color w:val="2F2F2F"/>
          <w:sz w:val="24"/>
          <w:lang w:eastAsia="prs" w:bidi="en-US"/>
        </w:rPr>
        <w:t>‌</w:t>
      </w:r>
      <w:r w:rsidRPr="0052595F">
        <w:rPr>
          <w:color w:val="2F2F2F"/>
          <w:sz w:val="24"/>
          <w:rtl/>
          <w:lang w:eastAsia="prs"/>
        </w:rPr>
        <w:t>ها</w:t>
      </w:r>
    </w:p>
    <w:p w14:paraId="278FF55A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ind w:left="820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درست کردن شیر خشک</w:t>
      </w:r>
    </w:p>
    <w:p w14:paraId="58C450A4" w14:textId="77777777" w:rsidR="00F21994" w:rsidRPr="0052595F" w:rsidRDefault="004B16F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left="820"/>
        <w:rPr>
          <w:sz w:val="24"/>
        </w:rPr>
      </w:pPr>
      <w:r w:rsidRPr="0052595F">
        <w:rPr>
          <w:color w:val="2F2F2F"/>
          <w:sz w:val="24"/>
          <w:rtl/>
          <w:lang w:eastAsia="prs"/>
        </w:rPr>
        <w:t>شستن میوه و سبزیجات</w:t>
      </w:r>
    </w:p>
    <w:p w14:paraId="7E568056" w14:textId="77777777" w:rsidR="00F21994" w:rsidRPr="0052595F" w:rsidRDefault="00F21994">
      <w:pPr>
        <w:bidi/>
        <w:spacing w:line="292" w:lineRule="exact"/>
        <w:rPr>
          <w:sz w:val="24"/>
        </w:rPr>
        <w:sectPr w:rsidR="00F21994" w:rsidRPr="0052595F">
          <w:type w:val="continuous"/>
          <w:pgSz w:w="12240" w:h="15840"/>
          <w:pgMar w:top="1560" w:right="1000" w:bottom="1220" w:left="980" w:header="720" w:footer="720" w:gutter="0"/>
          <w:cols w:num="2" w:space="720" w:equalWidth="0">
            <w:col w:w="3973" w:space="1430"/>
            <w:col w:w="4857"/>
          </w:cols>
        </w:sectPr>
      </w:pPr>
    </w:p>
    <w:p w14:paraId="57865E80" w14:textId="77777777" w:rsidR="00F21994" w:rsidRPr="0052595F" w:rsidRDefault="00F21994">
      <w:pPr>
        <w:pStyle w:val="BodyText"/>
        <w:bidi/>
        <w:rPr>
          <w:sz w:val="20"/>
        </w:rPr>
      </w:pPr>
    </w:p>
    <w:p w14:paraId="58E426B2" w14:textId="77777777" w:rsidR="00F21994" w:rsidRPr="0052595F" w:rsidRDefault="00F21994">
      <w:pPr>
        <w:pStyle w:val="BodyText"/>
        <w:bidi/>
        <w:spacing w:before="7"/>
        <w:rPr>
          <w:sz w:val="16"/>
        </w:rPr>
      </w:pPr>
    </w:p>
    <w:p w14:paraId="43AD5E78" w14:textId="77777777" w:rsidR="00F21994" w:rsidRPr="0052595F" w:rsidRDefault="004B16FA">
      <w:pPr>
        <w:pStyle w:val="BodyText"/>
        <w:bidi/>
        <w:spacing w:before="92" w:line="242" w:lineRule="auto"/>
        <w:ind w:left="100" w:right="401"/>
      </w:pP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منبع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جایگزین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کیفیت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مناسب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یا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بطری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 xml:space="preserve">.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نجوشانید</w:t>
      </w:r>
      <w:r w:rsidRPr="0052595F">
        <w:rPr>
          <w:color w:val="2F2F2F"/>
          <w:rtl/>
          <w:lang w:eastAsia="prs" w:bidi="en-US"/>
        </w:rPr>
        <w:t xml:space="preserve">. </w:t>
      </w:r>
      <w:r w:rsidRPr="0052595F">
        <w:rPr>
          <w:color w:val="2F2F2F"/>
          <w:rtl/>
          <w:lang w:eastAsia="prs"/>
        </w:rPr>
        <w:t>جوشاندن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بیش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حد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می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تواند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باعث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غلیظ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شدن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برخی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آلاینده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شود</w:t>
      </w:r>
      <w:r w:rsidRPr="0052595F">
        <w:rPr>
          <w:color w:val="2F2F2F"/>
          <w:rtl/>
          <w:lang w:eastAsia="prs" w:bidi="en-US"/>
        </w:rPr>
        <w:t>.</w:t>
      </w:r>
    </w:p>
    <w:p w14:paraId="6D0DF955" w14:textId="77777777" w:rsidR="00F21994" w:rsidRPr="0052595F" w:rsidRDefault="00F21994">
      <w:pPr>
        <w:bidi/>
        <w:spacing w:line="242" w:lineRule="auto"/>
        <w:sectPr w:rsidR="00F21994" w:rsidRPr="0052595F">
          <w:type w:val="continuous"/>
          <w:pgSz w:w="12240" w:h="15840"/>
          <w:pgMar w:top="1560" w:right="1000" w:bottom="1220" w:left="980" w:header="720" w:footer="720" w:gutter="0"/>
          <w:cols w:space="720"/>
        </w:sectPr>
      </w:pPr>
    </w:p>
    <w:p w14:paraId="4C23269E" w14:textId="77777777" w:rsidR="00F21994" w:rsidRPr="0052595F" w:rsidRDefault="00F21994">
      <w:pPr>
        <w:pStyle w:val="BodyText"/>
        <w:bidi/>
        <w:rPr>
          <w:sz w:val="16"/>
        </w:rPr>
      </w:pPr>
    </w:p>
    <w:p w14:paraId="7B8D553C" w14:textId="77777777" w:rsidR="00F21994" w:rsidRPr="0052595F" w:rsidRDefault="004B16FA">
      <w:pPr>
        <w:pStyle w:val="BodyText"/>
        <w:bidi/>
        <w:spacing w:before="92"/>
        <w:ind w:left="100"/>
      </w:pPr>
      <w:r w:rsidRPr="0052595F">
        <w:rPr>
          <w:color w:val="2F2F2F"/>
          <w:rtl/>
          <w:lang w:eastAsia="prs"/>
        </w:rPr>
        <w:t>می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توانید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کشدین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سیفون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توالت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دوش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گرفتن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شستن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دست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استفاده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کنید</w:t>
      </w:r>
      <w:r w:rsidRPr="0052595F">
        <w:rPr>
          <w:color w:val="2F2F2F"/>
          <w:rtl/>
          <w:lang w:eastAsia="prs" w:bidi="en-US"/>
        </w:rPr>
        <w:t>.</w:t>
      </w:r>
    </w:p>
    <w:p w14:paraId="780BD6D4" w14:textId="77777777" w:rsidR="00F21994" w:rsidRPr="0052595F" w:rsidRDefault="00F21994">
      <w:pPr>
        <w:pStyle w:val="BodyText"/>
        <w:bidi/>
        <w:spacing w:before="9"/>
        <w:rPr>
          <w:sz w:val="20"/>
        </w:rPr>
      </w:pPr>
    </w:p>
    <w:p w14:paraId="793D82EA" w14:textId="77777777" w:rsidR="00F21994" w:rsidRPr="0052595F" w:rsidRDefault="004B16FA">
      <w:pPr>
        <w:pStyle w:val="BodyText"/>
        <w:bidi/>
        <w:spacing w:before="1"/>
        <w:ind w:left="100" w:right="159"/>
      </w:pPr>
      <w:r w:rsidRPr="0052595F">
        <w:rPr>
          <w:color w:val="2F2F2F"/>
          <w:rtl/>
          <w:lang w:eastAsia="prs"/>
        </w:rPr>
        <w:t>افراد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مبتلا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سیستم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ایمنی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شدت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ضعیف،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نوزادان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برخی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افراد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مسن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ممکن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است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معرض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خطر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بیشتری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باشند</w:t>
      </w:r>
      <w:r w:rsidRPr="0052595F">
        <w:rPr>
          <w:color w:val="2F2F2F"/>
          <w:rtl/>
          <w:lang w:eastAsia="prs" w:bidi="en-US"/>
        </w:rPr>
        <w:t xml:space="preserve">. </w:t>
      </w:r>
      <w:r w:rsidRPr="0052595F">
        <w:rPr>
          <w:color w:val="2F2F2F"/>
          <w:rtl/>
          <w:lang w:eastAsia="prs"/>
        </w:rPr>
        <w:t>این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افراد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باید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مورد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آب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آشامیدنی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ارائه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دهندگان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مراقبت</w:t>
      </w:r>
      <w:r w:rsidRPr="0052595F">
        <w:rPr>
          <w:color w:val="2F2F2F"/>
          <w:lang w:eastAsia="prs" w:bidi="en-US"/>
        </w:rPr>
        <w:t>‌</w:t>
      </w:r>
      <w:r w:rsidRPr="0052595F">
        <w:rPr>
          <w:color w:val="2F2F2F"/>
          <w:rtl/>
          <w:lang w:eastAsia="prs"/>
        </w:rPr>
        <w:t>های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بهداشتی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خود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مشاوره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rtl/>
          <w:lang w:eastAsia="prs"/>
        </w:rPr>
        <w:t>بگیرند</w:t>
      </w:r>
      <w:r w:rsidRPr="0052595F">
        <w:rPr>
          <w:color w:val="2F2F2F"/>
          <w:rtl/>
          <w:lang w:eastAsia="prs" w:bidi="en-US"/>
        </w:rPr>
        <w:t>.</w:t>
      </w:r>
    </w:p>
    <w:p w14:paraId="47D44D9C" w14:textId="77777777" w:rsidR="00F21994" w:rsidRPr="0052595F" w:rsidRDefault="00F21994">
      <w:pPr>
        <w:pStyle w:val="BodyText"/>
        <w:bidi/>
        <w:spacing w:before="8"/>
        <w:rPr>
          <w:sz w:val="20"/>
        </w:rPr>
      </w:pPr>
    </w:p>
    <w:p w14:paraId="36B2243A" w14:textId="77777777" w:rsidR="00F21994" w:rsidRPr="0052595F" w:rsidRDefault="004B16FA">
      <w:pPr>
        <w:bidi/>
        <w:ind w:left="100"/>
        <w:rPr>
          <w:b/>
          <w:sz w:val="18"/>
        </w:rPr>
      </w:pPr>
      <w:r w:rsidRPr="0052595F">
        <w:rPr>
          <w:b/>
          <w:bCs/>
          <w:color w:val="2F2F2F"/>
          <w:sz w:val="18"/>
          <w:rtl/>
          <w:lang w:eastAsia="prs"/>
        </w:rPr>
        <w:t>بیانیه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18"/>
          <w:rtl/>
          <w:lang w:eastAsia="prs"/>
        </w:rPr>
        <w:t>عدم</w:t>
      </w:r>
      <w:r w:rsidRPr="0052595F">
        <w:rPr>
          <w:b/>
          <w:bCs/>
          <w:color w:val="2F2F2F"/>
          <w:rtl/>
          <w:lang w:eastAsia="prs" w:bidi="en-US"/>
        </w:rPr>
        <w:t xml:space="preserve"> </w:t>
      </w:r>
      <w:r w:rsidRPr="0052595F">
        <w:rPr>
          <w:b/>
          <w:bCs/>
          <w:color w:val="2F2F2F"/>
          <w:sz w:val="18"/>
          <w:rtl/>
          <w:lang w:eastAsia="prs"/>
        </w:rPr>
        <w:t>تبعیض</w:t>
      </w:r>
      <w:r w:rsidRPr="0052595F">
        <w:rPr>
          <w:b/>
          <w:bCs/>
          <w:color w:val="2F2F2F"/>
          <w:rtl/>
          <w:lang w:eastAsia="prs" w:bidi="en-US"/>
        </w:rPr>
        <w:t>:</w:t>
      </w:r>
    </w:p>
    <w:p w14:paraId="6B2494A4" w14:textId="77777777" w:rsidR="00F21994" w:rsidRPr="0052595F" w:rsidRDefault="004B16FA">
      <w:pPr>
        <w:bidi/>
        <w:spacing w:before="3"/>
        <w:ind w:left="100" w:right="157"/>
        <w:rPr>
          <w:sz w:val="18"/>
        </w:rPr>
      </w:pPr>
      <w:r w:rsidRPr="0052595F">
        <w:rPr>
          <w:color w:val="2F2F2F"/>
          <w:sz w:val="18"/>
          <w:rtl/>
          <w:lang w:eastAsia="prs"/>
        </w:rPr>
        <w:t>سازمان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منابع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طبیعی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ورمونت</w:t>
      </w:r>
      <w:r w:rsidRPr="0052595F">
        <w:rPr>
          <w:color w:val="2F2F2F"/>
          <w:rtl/>
          <w:lang w:eastAsia="prs" w:bidi="en-US"/>
        </w:rPr>
        <w:t xml:space="preserve"> (</w:t>
      </w:r>
      <w:r w:rsidRPr="0052595F">
        <w:rPr>
          <w:color w:val="2F2F2F"/>
          <w:sz w:val="18"/>
          <w:lang w:eastAsia="prs" w:bidi="en-US"/>
        </w:rPr>
        <w:t>ANR</w:t>
      </w:r>
      <w:r w:rsidRPr="0052595F">
        <w:rPr>
          <w:color w:val="2F2F2F"/>
          <w:rtl/>
          <w:lang w:eastAsia="prs" w:bidi="en-US"/>
        </w:rPr>
        <w:t xml:space="preserve">) </w:t>
      </w:r>
      <w:r w:rsidRPr="0052595F">
        <w:rPr>
          <w:color w:val="2F2F2F"/>
          <w:sz w:val="18"/>
          <w:rtl/>
          <w:lang w:eastAsia="prs"/>
        </w:rPr>
        <w:t>برنامه</w:t>
      </w:r>
      <w:r w:rsidRPr="0052595F">
        <w:rPr>
          <w:color w:val="2F2F2F"/>
          <w:sz w:val="18"/>
          <w:lang w:eastAsia="prs" w:bidi="en-US"/>
        </w:rPr>
        <w:t>‌</w:t>
      </w:r>
      <w:r w:rsidRPr="0052595F">
        <w:rPr>
          <w:color w:val="2F2F2F"/>
          <w:sz w:val="18"/>
          <w:rtl/>
          <w:lang w:eastAsia="prs"/>
        </w:rPr>
        <w:t>ها،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خدمات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فعالیت</w:t>
      </w:r>
      <w:r w:rsidRPr="0052595F">
        <w:rPr>
          <w:color w:val="2F2F2F"/>
          <w:sz w:val="18"/>
          <w:lang w:eastAsia="prs" w:bidi="en-US"/>
        </w:rPr>
        <w:t>‌</w:t>
      </w:r>
      <w:r w:rsidRPr="0052595F">
        <w:rPr>
          <w:color w:val="2F2F2F"/>
          <w:sz w:val="18"/>
          <w:rtl/>
          <w:lang w:eastAsia="prs"/>
        </w:rPr>
        <w:t>های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خود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را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بدون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تبعیض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بر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اساس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نژاد،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مذهب،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عقیده،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رنگ،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منشاء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ملی</w:t>
      </w:r>
      <w:r w:rsidRPr="0052595F">
        <w:rPr>
          <w:color w:val="2F2F2F"/>
          <w:rtl/>
          <w:lang w:eastAsia="prs" w:bidi="en-US"/>
        </w:rPr>
        <w:t xml:space="preserve"> (</w:t>
      </w:r>
      <w:r w:rsidRPr="0052595F">
        <w:rPr>
          <w:color w:val="2F2F2F"/>
          <w:sz w:val="18"/>
          <w:rtl/>
          <w:lang w:eastAsia="prs"/>
        </w:rPr>
        <w:t>از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جمله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مهارت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محدود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انگلیسی</w:t>
      </w:r>
      <w:r w:rsidRPr="0052595F">
        <w:rPr>
          <w:color w:val="2F2F2F"/>
          <w:rtl/>
          <w:lang w:eastAsia="prs" w:bidi="en-US"/>
        </w:rPr>
        <w:t>)</w:t>
      </w:r>
      <w:r w:rsidRPr="0052595F">
        <w:rPr>
          <w:color w:val="2F2F2F"/>
          <w:sz w:val="18"/>
          <w:rtl/>
          <w:lang w:eastAsia="prs"/>
        </w:rPr>
        <w:t>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اصل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نسب،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محل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تولد،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معلولیت،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سن،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وضعیت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تاهل،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جنسیت،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گرایش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جنسی،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هویت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جنسی،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یا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شیردهی</w:t>
      </w:r>
      <w:r w:rsidRPr="0052595F">
        <w:rPr>
          <w:color w:val="2F2F2F"/>
          <w:rtl/>
          <w:lang w:eastAsia="prs" w:bidi="en-US"/>
        </w:rPr>
        <w:t xml:space="preserve"> (</w:t>
      </w:r>
      <w:r w:rsidRPr="0052595F">
        <w:rPr>
          <w:color w:val="2F2F2F"/>
          <w:sz w:val="18"/>
          <w:rtl/>
          <w:lang w:eastAsia="prs"/>
        </w:rPr>
        <w:t>مادر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و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کودک</w:t>
      </w:r>
      <w:r w:rsidRPr="0052595F">
        <w:rPr>
          <w:color w:val="2F2F2F"/>
          <w:rtl/>
          <w:lang w:eastAsia="prs" w:bidi="en-US"/>
        </w:rPr>
        <w:t xml:space="preserve">) </w:t>
      </w:r>
      <w:r w:rsidRPr="0052595F">
        <w:rPr>
          <w:color w:val="2F2F2F"/>
          <w:sz w:val="18"/>
          <w:rtl/>
          <w:lang w:eastAsia="prs"/>
        </w:rPr>
        <w:t>به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انجام</w:t>
      </w:r>
      <w:r w:rsidRPr="0052595F">
        <w:rPr>
          <w:color w:val="2F2F2F"/>
          <w:rtl/>
          <w:lang w:eastAsia="prs" w:bidi="en-US"/>
        </w:rPr>
        <w:t xml:space="preserve"> </w:t>
      </w:r>
      <w:r w:rsidRPr="0052595F">
        <w:rPr>
          <w:color w:val="2F2F2F"/>
          <w:sz w:val="18"/>
          <w:rtl/>
          <w:lang w:eastAsia="prs"/>
        </w:rPr>
        <w:t>می</w:t>
      </w:r>
      <w:r w:rsidRPr="0052595F">
        <w:rPr>
          <w:color w:val="2F2F2F"/>
          <w:sz w:val="18"/>
          <w:lang w:eastAsia="prs" w:bidi="en-US"/>
        </w:rPr>
        <w:t>‌</w:t>
      </w:r>
      <w:r w:rsidRPr="0052595F">
        <w:rPr>
          <w:color w:val="2F2F2F"/>
          <w:sz w:val="18"/>
          <w:rtl/>
          <w:lang w:eastAsia="prs"/>
        </w:rPr>
        <w:t>رساند</w:t>
      </w:r>
      <w:r w:rsidRPr="0052595F">
        <w:rPr>
          <w:color w:val="2F2F2F"/>
          <w:rtl/>
          <w:lang w:eastAsia="prs" w:bidi="en-US"/>
        </w:rPr>
        <w:t>.</w:t>
      </w:r>
    </w:p>
    <w:p w14:paraId="75675408" w14:textId="77777777" w:rsidR="00F21994" w:rsidRPr="0052595F" w:rsidRDefault="00F21994">
      <w:pPr>
        <w:pStyle w:val="BodyText"/>
        <w:bidi/>
        <w:spacing w:before="9"/>
        <w:rPr>
          <w:sz w:val="17"/>
        </w:rPr>
      </w:pPr>
    </w:p>
    <w:p w14:paraId="180FABDF" w14:textId="77777777" w:rsidR="00F21994" w:rsidRDefault="004B16FA">
      <w:pPr>
        <w:bidi/>
        <w:ind w:left="100"/>
        <w:rPr>
          <w:b/>
          <w:bCs/>
          <w:color w:val="2F2F2F"/>
          <w:lang w:eastAsia="prs" w:bidi="en-US"/>
        </w:rPr>
      </w:pPr>
      <w:r w:rsidRPr="0052595F">
        <w:rPr>
          <w:b/>
          <w:bCs/>
          <w:color w:val="2F2F2F"/>
          <w:sz w:val="18"/>
          <w:rtl/>
          <w:lang w:eastAsia="prs"/>
        </w:rPr>
        <w:t>اعلامیه دسترسی زبانی</w:t>
      </w:r>
      <w:r w:rsidRPr="0052595F">
        <w:rPr>
          <w:b/>
          <w:bCs/>
          <w:color w:val="2F2F2F"/>
          <w:rtl/>
          <w:lang w:eastAsia="prs" w:bidi="en-US"/>
        </w:rPr>
        <w:t>:</w:t>
      </w:r>
    </w:p>
    <w:p w14:paraId="631AC305" w14:textId="14B870CF" w:rsidR="0044043F" w:rsidRPr="0052595F" w:rsidRDefault="0044043F" w:rsidP="0044043F">
      <w:pPr>
        <w:bidi/>
        <w:ind w:left="100"/>
        <w:rPr>
          <w:b/>
          <w:sz w:val="18"/>
        </w:rPr>
      </w:pPr>
      <w:r w:rsidRPr="00DF2493">
        <w:rPr>
          <w:rtl/>
          <w:lang w:eastAsia="prs" w:bidi="en-US"/>
        </w:rPr>
        <w:t>سوالات یا شکایات/خدمات رایگان زبانی:</w:t>
      </w:r>
    </w:p>
    <w:p w14:paraId="512D1A9F" w14:textId="61B7581D" w:rsidR="00F21994" w:rsidRPr="0052595F" w:rsidRDefault="002C78F6" w:rsidP="0052595F">
      <w:pPr>
        <w:bidi/>
        <w:spacing w:before="3" w:line="268" w:lineRule="auto"/>
        <w:ind w:left="100"/>
        <w:rPr>
          <w:sz w:val="18"/>
          <w:szCs w:val="18"/>
        </w:rPr>
        <w:sectPr w:rsidR="00F21994" w:rsidRPr="0052595F">
          <w:pgSz w:w="12240" w:h="15840"/>
          <w:pgMar w:top="1560" w:right="1000" w:bottom="1220" w:left="980" w:header="720" w:footer="1036" w:gutter="0"/>
          <w:cols w:space="720"/>
        </w:sectPr>
      </w:pPr>
      <w:r w:rsidRPr="00D64579">
        <w:rPr>
          <w:rFonts w:cs="Myanmar Text"/>
          <w:noProof/>
          <w:sz w:val="14"/>
          <w:szCs w:val="14"/>
          <w:cs/>
        </w:rPr>
        <w:drawing>
          <wp:inline distT="0" distB="0" distL="0" distR="0" wp14:anchorId="51BC352A" wp14:editId="3C5063ED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4464" w14:textId="225D731C" w:rsidR="00F21994" w:rsidRPr="0052595F" w:rsidRDefault="00F21994" w:rsidP="0052595F">
      <w:pPr>
        <w:bidi/>
        <w:spacing w:before="3"/>
        <w:ind w:left="69"/>
        <w:rPr>
          <w:sz w:val="18"/>
          <w:szCs w:val="18"/>
        </w:rPr>
      </w:pPr>
    </w:p>
    <w:sectPr w:rsidR="00F21994" w:rsidRPr="0052595F">
      <w:type w:val="continuous"/>
      <w:pgSz w:w="12240" w:h="15840"/>
      <w:pgMar w:top="1560" w:right="1000" w:bottom="1220" w:left="980" w:header="720" w:footer="720" w:gutter="0"/>
      <w:cols w:num="3" w:space="720" w:equalWidth="0">
        <w:col w:w="6523" w:space="40"/>
        <w:col w:w="440" w:space="39"/>
        <w:col w:w="32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4011" w14:textId="77777777" w:rsidR="00394959" w:rsidRDefault="00394959">
      <w:r>
        <w:separator/>
      </w:r>
    </w:p>
  </w:endnote>
  <w:endnote w:type="continuationSeparator" w:id="0">
    <w:p w14:paraId="038FDC6B" w14:textId="77777777" w:rsidR="00394959" w:rsidRDefault="0039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855" w14:textId="6CB3BBDB" w:rsidR="00F21994" w:rsidRDefault="00000000">
    <w:pPr>
      <w:pStyle w:val="BodyText"/>
      <w:bidi/>
      <w:spacing w:line="14" w:lineRule="auto"/>
      <w:rPr>
        <w:sz w:val="20"/>
      </w:rPr>
    </w:pPr>
    <w:r>
      <w:rPr>
        <w:noProof/>
        <w:lang w:eastAsia="prs" w:bidi="en-US"/>
      </w:rPr>
      <w:pict w14:anchorId="24BF3B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55.85pt;margin-top:742.45pt;width:105.7pt;height:15.45pt;z-index:-15791616;mso-position-horizontal-relative:page;mso-position-vertical-relative:page" filled="f" stroked="f">
          <v:textbox inset="0,0,0,0">
            <w:txbxContent>
              <w:p w14:paraId="681F876B" w14:textId="77777777" w:rsidR="00F21994" w:rsidRDefault="004B16FA">
                <w:pPr>
                  <w:pStyle w:val="BodyText"/>
                  <w:bidi/>
                  <w:spacing w:before="12"/>
                  <w:ind w:left="20"/>
                </w:pPr>
                <w:r>
                  <w:rPr>
                    <w:color w:val="2F2F2F"/>
                    <w:rtl/>
                    <w:lang w:eastAsia="prs"/>
                  </w:rPr>
                  <w:t>بازبینی</w:t>
                </w:r>
                <w:r>
                  <w:rPr>
                    <w:color w:val="2F2F2F"/>
                    <w:rtl/>
                    <w:lang w:eastAsia="prs" w:bidi="en-US"/>
                  </w:rPr>
                  <w:t>: 7/15/2023</w:t>
                </w:r>
              </w:p>
            </w:txbxContent>
          </v:textbox>
          <w10:wrap anchorx="page" anchory="page"/>
        </v:shape>
      </w:pict>
    </w:r>
    <w:r w:rsidR="002C78F6">
      <w:rPr>
        <w:noProof/>
        <w:rtl/>
      </w:rPr>
      <w:drawing>
        <wp:anchor distT="0" distB="0" distL="0" distR="0" simplePos="0" relativeHeight="251660288" behindDoc="1" locked="0" layoutInCell="1" allowOverlap="1" wp14:anchorId="09E19B7F" wp14:editId="157AA482">
          <wp:simplePos x="0" y="0"/>
          <wp:positionH relativeFrom="page">
            <wp:posOffset>621338</wp:posOffset>
          </wp:positionH>
          <wp:positionV relativeFrom="page">
            <wp:posOffset>9273540</wp:posOffset>
          </wp:positionV>
          <wp:extent cx="2155189" cy="4572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rs" w:bidi="en-US"/>
      </w:rPr>
      <w:pict w14:anchorId="5748225B">
        <v:shape id="_x0000_s1025" type="#_x0000_t202" style="position:absolute;left:0;text-align:left;margin-left:288.15pt;margin-top:738.9pt;width:36.95pt;height:15.45pt;z-index:-15791104;mso-position-horizontal-relative:page;mso-position-vertical-relative:page" filled="f" stroked="f">
          <v:textbox inset="0,0,0,0">
            <w:txbxContent>
              <w:p w14:paraId="00F9D5A3" w14:textId="4A59D78D" w:rsidR="00F21994" w:rsidRDefault="004B16FA">
                <w:pPr>
                  <w:pStyle w:val="BodyText"/>
                  <w:bidi/>
                  <w:spacing w:before="12"/>
                  <w:ind w:left="60"/>
                </w:pPr>
                <w:r>
                  <w:rPr>
                    <w:rtl/>
                    <w:lang w:eastAsia="prs" w:bidi="en-US"/>
                  </w:rPr>
                  <w:fldChar w:fldCharType="begin"/>
                </w:r>
                <w:r>
                  <w:rPr>
                    <w:color w:val="2F2F2F"/>
                    <w:rtl/>
                    <w:lang w:eastAsia="prs" w:bidi="en-US"/>
                  </w:rPr>
                  <w:instrText xml:space="preserve"> PAGE </w:instrText>
                </w:r>
                <w:r>
                  <w:rPr>
                    <w:rtl/>
                    <w:lang w:eastAsia="prs" w:bidi="en-US"/>
                  </w:rPr>
                  <w:fldChar w:fldCharType="separate"/>
                </w:r>
                <w:r w:rsidR="003F2596">
                  <w:rPr>
                    <w:noProof/>
                    <w:color w:val="2F2F2F"/>
                    <w:rtl/>
                    <w:lang w:eastAsia="prs"/>
                  </w:rPr>
                  <w:t>1</w:t>
                </w:r>
                <w:r>
                  <w:rPr>
                    <w:rtl/>
                    <w:lang w:eastAsia="prs" w:bidi="en-US"/>
                  </w:rPr>
                  <w:fldChar w:fldCharType="end"/>
                </w:r>
                <w:r>
                  <w:rPr>
                    <w:color w:val="2F2F2F"/>
                    <w:rtl/>
                    <w:lang w:eastAsia="prs"/>
                  </w:rPr>
                  <w:t xml:space="preserve"> از </w:t>
                </w:r>
                <w:r>
                  <w:rPr>
                    <w:color w:val="2F2F2F"/>
                    <w:rtl/>
                    <w:lang w:eastAsia="prs" w:bidi="en-US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1409" w14:textId="77777777" w:rsidR="00394959" w:rsidRDefault="00394959">
      <w:r>
        <w:separator/>
      </w:r>
    </w:p>
  </w:footnote>
  <w:footnote w:type="continuationSeparator" w:id="0">
    <w:p w14:paraId="23643148" w14:textId="77777777" w:rsidR="00394959" w:rsidRDefault="0039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74E" w14:textId="7F71AEC7" w:rsidR="00F21994" w:rsidRDefault="00000000">
    <w:pPr>
      <w:pStyle w:val="BodyText"/>
      <w:bidi/>
      <w:spacing w:line="14" w:lineRule="auto"/>
      <w:rPr>
        <w:sz w:val="20"/>
      </w:rPr>
    </w:pPr>
    <w:r>
      <w:rPr>
        <w:lang w:eastAsia="prs" w:bidi="en-US"/>
      </w:rPr>
      <w:pict w14:anchorId="3590AA4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80.75pt;margin-top:34.85pt;width:255pt;height:29.2pt;z-index:-15792640;mso-position-horizontal-relative:page;mso-position-vertical-relative:page" filled="f" stroked="f">
          <v:textbox inset="0,0,0,0">
            <w:txbxContent>
              <w:p w14:paraId="055ADA59" w14:textId="77777777" w:rsidR="00F21994" w:rsidRDefault="004B16FA">
                <w:pPr>
                  <w:pStyle w:val="BodyText"/>
                  <w:bidi/>
                  <w:spacing w:before="12" w:line="275" w:lineRule="exact"/>
                  <w:ind w:left="20"/>
                </w:pPr>
                <w:r>
                  <w:rPr>
                    <w:color w:val="2F2F2F"/>
                    <w:rtl/>
                    <w:lang w:eastAsia="prs"/>
                  </w:rPr>
                  <w:t>ایالت</w:t>
                </w:r>
                <w:r>
                  <w:rPr>
                    <w:color w:val="2F2F2F"/>
                    <w:rtl/>
                    <w:lang w:eastAsia="prs" w:bidi="en-US"/>
                  </w:rPr>
                  <w:t xml:space="preserve"> </w:t>
                </w:r>
                <w:r>
                  <w:rPr>
                    <w:color w:val="2F2F2F"/>
                    <w:rtl/>
                    <w:lang w:eastAsia="prs"/>
                  </w:rPr>
                  <w:t>ورمونت،</w:t>
                </w:r>
                <w:r>
                  <w:rPr>
                    <w:color w:val="2F2F2F"/>
                    <w:rtl/>
                    <w:lang w:eastAsia="prs" w:bidi="en-US"/>
                  </w:rPr>
                  <w:t xml:space="preserve"> </w:t>
                </w:r>
                <w:r>
                  <w:rPr>
                    <w:color w:val="2F2F2F"/>
                    <w:rtl/>
                    <w:lang w:eastAsia="prs"/>
                  </w:rPr>
                  <w:t>سازمان</w:t>
                </w:r>
                <w:r>
                  <w:rPr>
                    <w:color w:val="2F2F2F"/>
                    <w:rtl/>
                    <w:lang w:eastAsia="prs" w:bidi="en-US"/>
                  </w:rPr>
                  <w:t xml:space="preserve"> </w:t>
                </w:r>
                <w:r>
                  <w:rPr>
                    <w:color w:val="2F2F2F"/>
                    <w:rtl/>
                    <w:lang w:eastAsia="prs"/>
                  </w:rPr>
                  <w:t>منابع</w:t>
                </w:r>
                <w:r>
                  <w:rPr>
                    <w:color w:val="2F2F2F"/>
                    <w:rtl/>
                    <w:lang w:eastAsia="prs" w:bidi="en-US"/>
                  </w:rPr>
                  <w:t xml:space="preserve"> </w:t>
                </w:r>
                <w:r>
                  <w:rPr>
                    <w:color w:val="2F2F2F"/>
                    <w:rtl/>
                    <w:lang w:eastAsia="prs"/>
                  </w:rPr>
                  <w:t>طبیعی</w:t>
                </w:r>
              </w:p>
              <w:p w14:paraId="09774148" w14:textId="77777777" w:rsidR="00F21994" w:rsidRDefault="004B16FA">
                <w:pPr>
                  <w:bidi/>
                  <w:spacing w:line="275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b/>
                    <w:bCs/>
                    <w:color w:val="2F2F2F"/>
                    <w:sz w:val="24"/>
                    <w:rtl/>
                    <w:lang w:eastAsia="prs"/>
                  </w:rPr>
                  <w:t>منابع</w:t>
                </w:r>
                <w:r>
                  <w:rPr>
                    <w:b/>
                    <w:bCs/>
                    <w:color w:val="2F2F2F"/>
                    <w:rtl/>
                    <w:lang w:eastAsia="prs" w:bidi="en-US"/>
                  </w:rPr>
                  <w:t xml:space="preserve"> </w:t>
                </w:r>
                <w:r>
                  <w:rPr>
                    <w:b/>
                    <w:bCs/>
                    <w:color w:val="2F2F2F"/>
                    <w:sz w:val="24"/>
                    <w:rtl/>
                    <w:lang w:eastAsia="prs"/>
                  </w:rPr>
                  <w:t>بازیابی</w:t>
                </w:r>
                <w:r>
                  <w:rPr>
                    <w:b/>
                    <w:bCs/>
                    <w:color w:val="2F2F2F"/>
                    <w:rtl/>
                    <w:lang w:eastAsia="prs" w:bidi="en-US"/>
                  </w:rPr>
                  <w:t xml:space="preserve"> </w:t>
                </w:r>
                <w:r>
                  <w:rPr>
                    <w:b/>
                    <w:bCs/>
                    <w:color w:val="2F2F2F"/>
                    <w:sz w:val="24"/>
                    <w:rtl/>
                    <w:lang w:eastAsia="prs"/>
                  </w:rPr>
                  <w:t>سیل</w:t>
                </w:r>
              </w:p>
            </w:txbxContent>
          </v:textbox>
          <w10:wrap anchorx="page" anchory="page"/>
        </v:shape>
      </w:pict>
    </w:r>
    <w:r w:rsidR="002C78F6">
      <w:rPr>
        <w:noProof/>
        <w:rtl/>
      </w:rPr>
      <w:drawing>
        <wp:anchor distT="0" distB="0" distL="0" distR="0" simplePos="0" relativeHeight="251655168" behindDoc="1" locked="0" layoutInCell="1" allowOverlap="1" wp14:anchorId="5A92B70B" wp14:editId="042BB618">
          <wp:simplePos x="0" y="0"/>
          <wp:positionH relativeFrom="page">
            <wp:posOffset>6903476</wp:posOffset>
          </wp:positionH>
          <wp:positionV relativeFrom="page">
            <wp:posOffset>457200</wp:posOffset>
          </wp:positionV>
          <wp:extent cx="240722" cy="365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722" cy="365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rs" w:bidi="en-US"/>
      </w:rPr>
      <w:pict w14:anchorId="0D3E996D">
        <v:shape id="_x0000_s1028" style="position:absolute;left:0;text-align:left;margin-left:54.05pt;margin-top:77.55pt;width:504.25pt;height:.5pt;z-index:-15793152;mso-position-horizontal-relative:page;mso-position-vertical-relative:page" coordorigin="1081,1551" coordsize="10085,10" o:spt="100" adj="0,,0" path="m11160,1551r-10074,l1081,1551r,5l1081,1561r5,l11160,1561r,-5l11160,1551xm11165,1551r-5,l11160,1556r,5l11165,1561r,-5l11165,1551xe" fillcolor="#9f9f9f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EEB"/>
    <w:multiLevelType w:val="hybridMultilevel"/>
    <w:tmpl w:val="A24CA838"/>
    <w:lvl w:ilvl="0" w:tplc="DE1ED63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2F2F2F"/>
        <w:w w:val="100"/>
        <w:sz w:val="24"/>
        <w:szCs w:val="24"/>
        <w:lang w:val="en-US" w:eastAsia="en-US" w:bidi="ar-SA"/>
      </w:rPr>
    </w:lvl>
    <w:lvl w:ilvl="1" w:tplc="C3E8226E">
      <w:numFmt w:val="bullet"/>
      <w:lvlText w:val="•"/>
      <w:lvlJc w:val="left"/>
      <w:pPr>
        <w:ind w:left="1135" w:hanging="361"/>
      </w:pPr>
      <w:rPr>
        <w:rFonts w:hint="default"/>
        <w:lang w:val="en-US" w:eastAsia="en-US" w:bidi="ar-SA"/>
      </w:rPr>
    </w:lvl>
    <w:lvl w:ilvl="2" w:tplc="16B8E572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ar-SA"/>
      </w:rPr>
    </w:lvl>
    <w:lvl w:ilvl="3" w:tplc="06263ACE">
      <w:numFmt w:val="bullet"/>
      <w:lvlText w:val="•"/>
      <w:lvlJc w:val="left"/>
      <w:pPr>
        <w:ind w:left="1765" w:hanging="361"/>
      </w:pPr>
      <w:rPr>
        <w:rFonts w:hint="default"/>
        <w:lang w:val="en-US" w:eastAsia="en-US" w:bidi="ar-SA"/>
      </w:rPr>
    </w:lvl>
    <w:lvl w:ilvl="4" w:tplc="642C8A60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5" w:tplc="EB54A57C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6" w:tplc="1728D3EC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7" w:tplc="84448D82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8" w:tplc="17C403F4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</w:abstractNum>
  <w:num w:numId="1" w16cid:durableId="43660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994"/>
    <w:rsid w:val="001A5A44"/>
    <w:rsid w:val="002C78F6"/>
    <w:rsid w:val="00394959"/>
    <w:rsid w:val="003F2596"/>
    <w:rsid w:val="0044043F"/>
    <w:rsid w:val="004B16FA"/>
    <w:rsid w:val="0052595F"/>
    <w:rsid w:val="005C04C7"/>
    <w:rsid w:val="00693D8F"/>
    <w:rsid w:val="00A15698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B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707" w:right="2687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595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5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2595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5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rweb.vt.gov/DEC/DWGWP/license.aspx?Report=Bo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31A47F3C-7358-4CC3-987E-5788878444D8}"/>
</file>

<file path=customXml/itemProps2.xml><?xml version="1.0" encoding="utf-8"?>
<ds:datastoreItem xmlns:ds="http://schemas.openxmlformats.org/officeDocument/2006/customXml" ds:itemID="{DB7D5C80-092B-40AA-8106-7461A9DD5A17}"/>
</file>

<file path=customXml/itemProps3.xml><?xml version="1.0" encoding="utf-8"?>
<ds:datastoreItem xmlns:ds="http://schemas.openxmlformats.org/officeDocument/2006/customXml" ds:itemID="{559657F5-E7FE-4FA8-BA0F-E5DAAD52B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2023-07-18T16:14:00Z</dcterms:created>
  <dcterms:modified xsi:type="dcterms:W3CDTF">2023-07-20T13:01:00Z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