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511" w14:textId="77777777" w:rsidR="00F21994" w:rsidRPr="00DB1D7E" w:rsidRDefault="00F21994">
      <w:pPr>
        <w:pStyle w:val="BodyText"/>
        <w:spacing w:before="2"/>
        <w:rPr>
          <w:sz w:val="14"/>
          <w:szCs w:val="22"/>
        </w:rPr>
      </w:pPr>
    </w:p>
    <w:p w14:paraId="5334761D" w14:textId="77777777" w:rsidR="00F21994" w:rsidRPr="00DB1D7E" w:rsidRDefault="00000000" w:rsidP="00DB1D7E">
      <w:pPr>
        <w:pStyle w:val="Title"/>
        <w:ind w:left="567" w:right="904"/>
        <w:rPr>
          <w:sz w:val="40"/>
          <w:szCs w:val="40"/>
        </w:rPr>
      </w:pPr>
      <w:bookmarkStart w:id="0" w:name="Public_Water_Notices"/>
      <w:bookmarkEnd w:id="0"/>
      <w:r w:rsidRPr="00DB1D7E">
        <w:rPr>
          <w:color w:val="2F2F2F"/>
          <w:sz w:val="40"/>
          <w:szCs w:val="40"/>
          <w:lang w:bidi="fr-FR"/>
        </w:rPr>
        <w:t>Avis sur le réseau de distribution d’eau public</w:t>
      </w:r>
    </w:p>
    <w:p w14:paraId="1EA427AE" w14:textId="77777777" w:rsidR="00F21994" w:rsidRPr="00DB1D7E" w:rsidRDefault="00000000">
      <w:pPr>
        <w:pStyle w:val="BodyText"/>
        <w:spacing w:before="250"/>
        <w:ind w:left="100" w:right="100"/>
        <w:rPr>
          <w:sz w:val="22"/>
          <w:szCs w:val="22"/>
        </w:rPr>
      </w:pPr>
      <w:r w:rsidRPr="00DB1D7E">
        <w:rPr>
          <w:color w:val="2F2F2F"/>
          <w:sz w:val="22"/>
          <w:szCs w:val="22"/>
          <w:lang w:bidi="fr-FR"/>
        </w:rPr>
        <w:t>Si votre réseau de distribution d’eau public a été placé sur la liste « Faire bouillir l’eau » ou « Ne pas boire », vous devriez recevoir un avis du service de distribution des eaux avec des informations spécifiques sur la situation et des conseils sur la façon de procéder. Veuillez suivre les instructions fournies. Si vous n’avez pas reçu d’avis ou si vous avez des questions concernant votre eau, veuillez contacter votre fournisseur (consultez votre facture d’eau pour ses coordonnées).</w:t>
      </w:r>
    </w:p>
    <w:p w14:paraId="1A92FC54" w14:textId="77777777" w:rsidR="00F21994" w:rsidRPr="00DB1D7E" w:rsidRDefault="00F21994">
      <w:pPr>
        <w:pStyle w:val="BodyText"/>
        <w:spacing w:before="10"/>
        <w:rPr>
          <w:sz w:val="18"/>
          <w:szCs w:val="22"/>
        </w:rPr>
      </w:pPr>
    </w:p>
    <w:p w14:paraId="13E6EC40" w14:textId="314FED0C" w:rsidR="00F21994" w:rsidRPr="00DB1D7E" w:rsidRDefault="00000000">
      <w:pPr>
        <w:pStyle w:val="BodyText"/>
        <w:ind w:left="100"/>
        <w:rPr>
          <w:sz w:val="22"/>
          <w:szCs w:val="22"/>
        </w:rPr>
      </w:pPr>
      <w:r w:rsidRPr="00DB1D7E">
        <w:rPr>
          <w:color w:val="2F2F2F"/>
          <w:sz w:val="22"/>
          <w:szCs w:val="22"/>
          <w:lang w:bidi="fr-FR"/>
        </w:rPr>
        <w:t xml:space="preserve">Vous pouvez également consulter la </w:t>
      </w:r>
      <w:hyperlink r:id="rId7">
        <w:r w:rsidRPr="00DB1D7E">
          <w:rPr>
            <w:color w:val="0462C1"/>
            <w:sz w:val="22"/>
            <w:szCs w:val="22"/>
            <w:u w:val="single" w:color="0462C1"/>
            <w:lang w:bidi="fr-FR"/>
          </w:rPr>
          <w:t>liste des avis publics « Faire bouillir l’eau » et « Ne pas boire »,</w:t>
        </w:r>
        <w:r w:rsidRPr="00DB1D7E">
          <w:rPr>
            <w:color w:val="0462C1"/>
            <w:sz w:val="22"/>
            <w:szCs w:val="22"/>
            <w:lang w:bidi="fr-FR"/>
          </w:rPr>
          <w:t xml:space="preserve"> </w:t>
        </w:r>
      </w:hyperlink>
      <w:r w:rsidRPr="00DB1D7E">
        <w:rPr>
          <w:color w:val="2F2F2F"/>
          <w:sz w:val="22"/>
          <w:szCs w:val="22"/>
          <w:lang w:bidi="fr-FR"/>
        </w:rPr>
        <w:t>fournis par le Ministère de la protection de l’environnement.</w:t>
      </w:r>
    </w:p>
    <w:p w14:paraId="1D01FC8A" w14:textId="1B4258FF" w:rsidR="00F21994" w:rsidRPr="00DB1D7E" w:rsidRDefault="00F21994">
      <w:pPr>
        <w:pStyle w:val="BodyText"/>
        <w:spacing w:before="9"/>
        <w:rPr>
          <w:sz w:val="18"/>
          <w:szCs w:val="22"/>
        </w:rPr>
      </w:pPr>
    </w:p>
    <w:p w14:paraId="7041F0D4" w14:textId="5B5CF764" w:rsidR="00F21994" w:rsidRPr="00DB1D7E" w:rsidRDefault="00DB1D7E">
      <w:pPr>
        <w:pStyle w:val="BodyText"/>
        <w:ind w:left="1001" w:right="294"/>
        <w:rPr>
          <w:sz w:val="22"/>
          <w:szCs w:val="22"/>
        </w:rPr>
      </w:pPr>
      <w:r w:rsidRPr="00DB1D7E">
        <w:rPr>
          <w:noProof/>
          <w:sz w:val="22"/>
          <w:szCs w:val="22"/>
          <w:lang w:bidi="fr-FR"/>
        </w:rPr>
        <w:drawing>
          <wp:anchor distT="0" distB="0" distL="0" distR="0" simplePos="0" relativeHeight="251658752" behindDoc="0" locked="0" layoutInCell="1" allowOverlap="1" wp14:anchorId="63C99448" wp14:editId="5C10F2A0">
            <wp:simplePos x="0" y="0"/>
            <wp:positionH relativeFrom="page">
              <wp:posOffset>709295</wp:posOffset>
            </wp:positionH>
            <wp:positionV relativeFrom="paragraph">
              <wp:posOffset>138761</wp:posOffset>
            </wp:positionV>
            <wp:extent cx="413385" cy="365125"/>
            <wp:effectExtent l="0" t="0" r="5715" b="0"/>
            <wp:wrapNone/>
            <wp:docPr id="5" name="image3.png"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3385" cy="365125"/>
                    </a:xfrm>
                    <a:prstGeom prst="rect">
                      <a:avLst/>
                    </a:prstGeom>
                  </pic:spPr>
                </pic:pic>
              </a:graphicData>
            </a:graphic>
          </wp:anchor>
        </w:drawing>
      </w:r>
      <w:r w:rsidRPr="00DB1D7E">
        <w:rPr>
          <w:color w:val="2F2F2F"/>
          <w:sz w:val="22"/>
          <w:szCs w:val="22"/>
          <w:lang w:bidi="fr-FR"/>
        </w:rPr>
        <w:t xml:space="preserve">L’avis « Faire bouillir l’eau » vous permet d’utiliser de l’eau après ébullition selon les usages listés ci-dessous. </w:t>
      </w:r>
      <w:r>
        <w:rPr>
          <w:color w:val="2F2F2F"/>
          <w:sz w:val="22"/>
          <w:szCs w:val="22"/>
          <w:lang w:bidi="fr-FR"/>
        </w:rPr>
        <w:br/>
      </w:r>
      <w:r w:rsidRPr="00DB1D7E">
        <w:rPr>
          <w:color w:val="2F2F2F"/>
          <w:sz w:val="22"/>
          <w:szCs w:val="22"/>
          <w:lang w:bidi="fr-FR"/>
        </w:rPr>
        <w:t>L’avis « Ne pas boire » signifie que vous ne pouvez pas utiliser l’eau pour les usages énumérés ci-dessous.</w:t>
      </w:r>
    </w:p>
    <w:p w14:paraId="2CC0E5C9" w14:textId="77777777" w:rsidR="00F21994" w:rsidRPr="00DB1D7E" w:rsidRDefault="00F21994">
      <w:pPr>
        <w:pStyle w:val="BodyText"/>
        <w:rPr>
          <w:sz w:val="19"/>
          <w:szCs w:val="22"/>
        </w:rPr>
      </w:pPr>
    </w:p>
    <w:p w14:paraId="7F3C11BA" w14:textId="77777777" w:rsidR="00F21994" w:rsidRPr="00DB1D7E" w:rsidRDefault="00000000">
      <w:pPr>
        <w:pStyle w:val="Heading1"/>
        <w:rPr>
          <w:rFonts w:ascii="Arial MT" w:hAnsi="Arial MT"/>
          <w:sz w:val="26"/>
          <w:szCs w:val="24"/>
        </w:rPr>
      </w:pPr>
      <w:r w:rsidRPr="00DB1D7E">
        <w:rPr>
          <w:color w:val="007940"/>
          <w:sz w:val="24"/>
          <w:szCs w:val="24"/>
          <w:lang w:bidi="fr-FR"/>
        </w:rPr>
        <w:t>Qu’est-ce qu’un avis « Faire bouillir l’eau » ?</w:t>
      </w:r>
    </w:p>
    <w:p w14:paraId="3E81183D" w14:textId="77777777" w:rsidR="00F21994" w:rsidRDefault="00000000" w:rsidP="00DB1D7E">
      <w:pPr>
        <w:spacing w:before="240" w:after="240"/>
        <w:ind w:left="100"/>
        <w:rPr>
          <w:color w:val="2F2F2F"/>
          <w:szCs w:val="20"/>
          <w:lang w:bidi="fr-FR"/>
        </w:rPr>
      </w:pPr>
      <w:r w:rsidRPr="00DB1D7E">
        <w:rPr>
          <w:b/>
          <w:color w:val="2F2F2F"/>
          <w:szCs w:val="20"/>
          <w:lang w:bidi="fr-FR"/>
        </w:rPr>
        <w:t>Ne buvez pas l’eau sans l’avoir fait bouillir au préalable</w:t>
      </w:r>
      <w:r w:rsidRPr="00DB1D7E">
        <w:rPr>
          <w:color w:val="2F2F2F"/>
          <w:szCs w:val="20"/>
          <w:lang w:bidi="fr-FR"/>
        </w:rPr>
        <w:t>. L’eau bouillie ou en bouteille peut être utilisée pour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88"/>
      </w:tblGrid>
      <w:tr w:rsidR="00DB1D7E" w14:paraId="49D6E76A" w14:textId="77777777" w:rsidTr="00DB1D7E">
        <w:tc>
          <w:tcPr>
            <w:tcW w:w="5188" w:type="dxa"/>
          </w:tcPr>
          <w:p w14:paraId="4AA4B117" w14:textId="77777777" w:rsidR="00DB1D7E" w:rsidRPr="00DB1D7E" w:rsidRDefault="00DB1D7E" w:rsidP="00DB1D7E">
            <w:pPr>
              <w:pStyle w:val="ListParagraph"/>
              <w:numPr>
                <w:ilvl w:val="0"/>
                <w:numId w:val="1"/>
              </w:numPr>
              <w:tabs>
                <w:tab w:val="left" w:pos="820"/>
                <w:tab w:val="left" w:pos="821"/>
              </w:tabs>
              <w:spacing w:before="100"/>
              <w:ind w:right="4"/>
              <w:rPr>
                <w:szCs w:val="20"/>
              </w:rPr>
            </w:pPr>
            <w:proofErr w:type="gramStart"/>
            <w:r w:rsidRPr="00DB1D7E">
              <w:rPr>
                <w:color w:val="2F2F2F"/>
                <w:szCs w:val="20"/>
                <w:lang w:bidi="fr-FR"/>
              </w:rPr>
              <w:t>boire</w:t>
            </w:r>
            <w:proofErr w:type="gramEnd"/>
            <w:r w:rsidRPr="00DB1D7E">
              <w:rPr>
                <w:color w:val="2F2F2F"/>
                <w:szCs w:val="20"/>
                <w:lang w:bidi="fr-FR"/>
              </w:rPr>
              <w:t> ;</w:t>
            </w:r>
          </w:p>
          <w:p w14:paraId="2B2AA52F" w14:textId="77777777" w:rsidR="00DB1D7E" w:rsidRPr="00DB1D7E" w:rsidRDefault="00DB1D7E" w:rsidP="00DB1D7E">
            <w:pPr>
              <w:pStyle w:val="ListParagraph"/>
              <w:numPr>
                <w:ilvl w:val="0"/>
                <w:numId w:val="1"/>
              </w:numPr>
              <w:tabs>
                <w:tab w:val="left" w:pos="820"/>
                <w:tab w:val="left" w:pos="821"/>
              </w:tabs>
              <w:ind w:right="4"/>
              <w:rPr>
                <w:szCs w:val="20"/>
              </w:rPr>
            </w:pPr>
            <w:r w:rsidRPr="00DB1D7E">
              <w:rPr>
                <w:color w:val="2F2F2F"/>
                <w:szCs w:val="20"/>
                <w:lang w:bidi="fr-FR"/>
              </w:rPr>
              <w:t>faire la cuisine et préparer des aliments ;</w:t>
            </w:r>
          </w:p>
          <w:p w14:paraId="1E0FD025" w14:textId="77777777" w:rsidR="00DB1D7E" w:rsidRPr="00DB1D7E" w:rsidRDefault="00DB1D7E" w:rsidP="00DB1D7E">
            <w:pPr>
              <w:pStyle w:val="ListParagraph"/>
              <w:numPr>
                <w:ilvl w:val="0"/>
                <w:numId w:val="1"/>
              </w:numPr>
              <w:tabs>
                <w:tab w:val="left" w:pos="820"/>
                <w:tab w:val="left" w:pos="821"/>
              </w:tabs>
              <w:spacing w:before="1"/>
              <w:ind w:right="4"/>
              <w:rPr>
                <w:szCs w:val="20"/>
              </w:rPr>
            </w:pPr>
            <w:r w:rsidRPr="00DB1D7E">
              <w:rPr>
                <w:color w:val="2F2F2F"/>
                <w:szCs w:val="20"/>
                <w:lang w:bidi="fr-FR"/>
              </w:rPr>
              <w:t>faire du jus ou de la glace ;</w:t>
            </w:r>
          </w:p>
          <w:p w14:paraId="030A719F" w14:textId="1227C001" w:rsidR="00DB1D7E" w:rsidRPr="00DB1D7E" w:rsidRDefault="00DB1D7E" w:rsidP="00DB1D7E">
            <w:pPr>
              <w:pStyle w:val="ListParagraph"/>
              <w:numPr>
                <w:ilvl w:val="0"/>
                <w:numId w:val="1"/>
              </w:numPr>
              <w:tabs>
                <w:tab w:val="left" w:pos="820"/>
                <w:tab w:val="left" w:pos="821"/>
              </w:tabs>
              <w:ind w:right="4"/>
              <w:rPr>
                <w:szCs w:val="20"/>
              </w:rPr>
            </w:pPr>
            <w:proofErr w:type="gramStart"/>
            <w:r w:rsidRPr="00DB1D7E">
              <w:rPr>
                <w:color w:val="2F2F2F"/>
                <w:szCs w:val="20"/>
                <w:lang w:bidi="fr-FR"/>
              </w:rPr>
              <w:t>se</w:t>
            </w:r>
            <w:proofErr w:type="gramEnd"/>
            <w:r w:rsidRPr="00DB1D7E">
              <w:rPr>
                <w:color w:val="2F2F2F"/>
                <w:szCs w:val="20"/>
                <w:lang w:bidi="fr-FR"/>
              </w:rPr>
              <w:t xml:space="preserve"> brosser les dents ;</w:t>
            </w:r>
          </w:p>
        </w:tc>
        <w:tc>
          <w:tcPr>
            <w:tcW w:w="5188" w:type="dxa"/>
          </w:tcPr>
          <w:p w14:paraId="15CAC52D" w14:textId="77777777" w:rsidR="00DB1D7E" w:rsidRPr="00DB1D7E" w:rsidRDefault="00DB1D7E" w:rsidP="00DB1D7E">
            <w:pPr>
              <w:pStyle w:val="ListParagraph"/>
              <w:numPr>
                <w:ilvl w:val="0"/>
                <w:numId w:val="1"/>
              </w:numPr>
              <w:tabs>
                <w:tab w:val="left" w:pos="820"/>
                <w:tab w:val="left" w:pos="821"/>
              </w:tabs>
              <w:spacing w:before="100"/>
              <w:ind w:left="820"/>
              <w:rPr>
                <w:szCs w:val="20"/>
              </w:rPr>
            </w:pPr>
            <w:proofErr w:type="gramStart"/>
            <w:r w:rsidRPr="00DB1D7E">
              <w:rPr>
                <w:color w:val="2F2F2F"/>
                <w:szCs w:val="20"/>
                <w:lang w:bidi="fr-FR"/>
              </w:rPr>
              <w:t>faire</w:t>
            </w:r>
            <w:proofErr w:type="gramEnd"/>
            <w:r w:rsidRPr="00DB1D7E">
              <w:rPr>
                <w:color w:val="2F2F2F"/>
                <w:szCs w:val="20"/>
                <w:lang w:bidi="fr-FR"/>
              </w:rPr>
              <w:t xml:space="preserve"> la vaisselle ;</w:t>
            </w:r>
          </w:p>
          <w:p w14:paraId="1EFB1C60" w14:textId="77777777" w:rsidR="00DB1D7E" w:rsidRPr="00DB1D7E" w:rsidRDefault="00DB1D7E" w:rsidP="00DB1D7E">
            <w:pPr>
              <w:pStyle w:val="ListParagraph"/>
              <w:numPr>
                <w:ilvl w:val="0"/>
                <w:numId w:val="1"/>
              </w:numPr>
              <w:tabs>
                <w:tab w:val="left" w:pos="820"/>
                <w:tab w:val="left" w:pos="821"/>
              </w:tabs>
              <w:ind w:left="820"/>
              <w:rPr>
                <w:szCs w:val="20"/>
              </w:rPr>
            </w:pPr>
            <w:r w:rsidRPr="00DB1D7E">
              <w:rPr>
                <w:color w:val="2F2F2F"/>
                <w:szCs w:val="20"/>
                <w:lang w:bidi="fr-FR"/>
              </w:rPr>
              <w:t>préparer du lait maternisé/des biberons ;</w:t>
            </w:r>
          </w:p>
          <w:p w14:paraId="42B58C5F" w14:textId="3062AC2F" w:rsidR="00DB1D7E" w:rsidRPr="00DB1D7E" w:rsidRDefault="00DB1D7E" w:rsidP="00DB1D7E">
            <w:pPr>
              <w:pStyle w:val="ListParagraph"/>
              <w:numPr>
                <w:ilvl w:val="0"/>
                <w:numId w:val="1"/>
              </w:numPr>
              <w:tabs>
                <w:tab w:val="left" w:pos="820"/>
                <w:tab w:val="left" w:pos="821"/>
              </w:tabs>
              <w:spacing w:before="1" w:line="240" w:lineRule="auto"/>
              <w:ind w:left="820"/>
              <w:rPr>
                <w:szCs w:val="20"/>
              </w:rPr>
            </w:pPr>
            <w:proofErr w:type="gramStart"/>
            <w:r w:rsidRPr="00DB1D7E">
              <w:rPr>
                <w:color w:val="2F2F2F"/>
                <w:szCs w:val="20"/>
                <w:lang w:bidi="fr-FR"/>
              </w:rPr>
              <w:t>laver</w:t>
            </w:r>
            <w:proofErr w:type="gramEnd"/>
            <w:r w:rsidRPr="00DB1D7E">
              <w:rPr>
                <w:color w:val="2F2F2F"/>
                <w:szCs w:val="20"/>
                <w:lang w:bidi="fr-FR"/>
              </w:rPr>
              <w:t xml:space="preserve"> les fruits et légumes ;</w:t>
            </w:r>
          </w:p>
        </w:tc>
      </w:tr>
    </w:tbl>
    <w:p w14:paraId="4D295007" w14:textId="77777777" w:rsidR="00F21994" w:rsidRPr="00DB1D7E" w:rsidRDefault="00F21994">
      <w:pPr>
        <w:pStyle w:val="BodyText"/>
        <w:rPr>
          <w:sz w:val="18"/>
          <w:szCs w:val="22"/>
        </w:rPr>
      </w:pPr>
    </w:p>
    <w:p w14:paraId="44F00392" w14:textId="77777777" w:rsidR="00F21994" w:rsidRPr="00DB1D7E" w:rsidRDefault="00F21994">
      <w:pPr>
        <w:pStyle w:val="BodyText"/>
        <w:rPr>
          <w:sz w:val="15"/>
          <w:szCs w:val="22"/>
        </w:rPr>
      </w:pPr>
    </w:p>
    <w:p w14:paraId="46C5C883" w14:textId="77777777" w:rsidR="00F21994" w:rsidRPr="00DB1D7E" w:rsidRDefault="00000000">
      <w:pPr>
        <w:pStyle w:val="BodyText"/>
        <w:spacing w:before="92"/>
        <w:ind w:left="100" w:right="294"/>
        <w:rPr>
          <w:sz w:val="22"/>
          <w:szCs w:val="22"/>
        </w:rPr>
      </w:pPr>
      <w:r w:rsidRPr="00DB1D7E">
        <w:rPr>
          <w:color w:val="2F2F2F"/>
          <w:sz w:val="22"/>
          <w:szCs w:val="22"/>
          <w:lang w:bidi="fr-FR"/>
        </w:rPr>
        <w:t>Porter toute l’eau à ébullition, laisser bouillir pendant une minute, puis refroidir avant utilisation, ou utiliser de l’eau en bouteille. L’ébullition tue les bactéries et autres organismes présents dans l’eau.</w:t>
      </w:r>
    </w:p>
    <w:p w14:paraId="2CAA2694" w14:textId="77777777" w:rsidR="00F21994" w:rsidRPr="00DB1D7E" w:rsidRDefault="00F21994">
      <w:pPr>
        <w:pStyle w:val="BodyText"/>
        <w:spacing w:before="8"/>
        <w:rPr>
          <w:sz w:val="18"/>
          <w:szCs w:val="22"/>
        </w:rPr>
      </w:pPr>
    </w:p>
    <w:p w14:paraId="1696BF34" w14:textId="77777777" w:rsidR="00F21994" w:rsidRPr="00DB1D7E" w:rsidRDefault="00000000">
      <w:pPr>
        <w:pStyle w:val="BodyText"/>
        <w:spacing w:before="1"/>
        <w:ind w:left="100"/>
        <w:rPr>
          <w:sz w:val="22"/>
          <w:szCs w:val="22"/>
        </w:rPr>
      </w:pPr>
      <w:r w:rsidRPr="00DB1D7E">
        <w:rPr>
          <w:color w:val="2F2F2F"/>
          <w:sz w:val="22"/>
          <w:szCs w:val="22"/>
          <w:lang w:bidi="fr-FR"/>
        </w:rPr>
        <w:t>Vous pouvez utiliser de l’eau non bouillie pour les chasses d’eau, les douches et le lavage des mains.</w:t>
      </w:r>
    </w:p>
    <w:p w14:paraId="3031F3A6" w14:textId="77777777" w:rsidR="00F21994" w:rsidRPr="00DB1D7E" w:rsidRDefault="00F21994">
      <w:pPr>
        <w:pStyle w:val="BodyText"/>
        <w:spacing w:before="8"/>
        <w:rPr>
          <w:sz w:val="18"/>
          <w:szCs w:val="22"/>
        </w:rPr>
      </w:pPr>
    </w:p>
    <w:p w14:paraId="075D0545" w14:textId="77777777" w:rsidR="00F21994" w:rsidRPr="00DB1D7E" w:rsidRDefault="00000000">
      <w:pPr>
        <w:pStyle w:val="BodyText"/>
        <w:spacing w:before="1" w:line="242" w:lineRule="auto"/>
        <w:ind w:left="100" w:right="155"/>
        <w:rPr>
          <w:sz w:val="22"/>
          <w:szCs w:val="22"/>
        </w:rPr>
      </w:pPr>
      <w:r w:rsidRPr="00DB1D7E">
        <w:rPr>
          <w:color w:val="2F2F2F"/>
          <w:sz w:val="22"/>
          <w:szCs w:val="22"/>
          <w:lang w:bidi="fr-FR"/>
        </w:rPr>
        <w:t>Les personnes dont le système immunitaire est fortement affaibli, les nourrissons et certaines personnes âgées peuvent courir un risque accru. Ces personnes sont invitées à consulter leur médecin au sujet de l’eau potable.</w:t>
      </w:r>
    </w:p>
    <w:p w14:paraId="169FD301" w14:textId="77777777" w:rsidR="00F21994" w:rsidRPr="00DB1D7E" w:rsidRDefault="00F21994">
      <w:pPr>
        <w:pStyle w:val="BodyText"/>
        <w:spacing w:before="6"/>
        <w:rPr>
          <w:sz w:val="18"/>
          <w:szCs w:val="22"/>
        </w:rPr>
      </w:pPr>
    </w:p>
    <w:p w14:paraId="0C6E83EA" w14:textId="77777777" w:rsidR="00F21994" w:rsidRPr="00DB1D7E" w:rsidRDefault="00000000">
      <w:pPr>
        <w:pStyle w:val="Heading1"/>
        <w:rPr>
          <w:rFonts w:ascii="Arial MT" w:hAnsi="Arial MT"/>
          <w:sz w:val="26"/>
          <w:szCs w:val="24"/>
        </w:rPr>
      </w:pPr>
      <w:r w:rsidRPr="00DB1D7E">
        <w:rPr>
          <w:color w:val="007940"/>
          <w:sz w:val="24"/>
          <w:szCs w:val="24"/>
          <w:lang w:bidi="fr-FR"/>
        </w:rPr>
        <w:t>Qu’est-ce qu’un avis « Ne pas boire » ?</w:t>
      </w:r>
    </w:p>
    <w:p w14:paraId="06C7647B" w14:textId="77777777" w:rsidR="00F21994" w:rsidRDefault="00000000" w:rsidP="00DB1D7E">
      <w:pPr>
        <w:spacing w:before="236" w:after="240"/>
        <w:ind w:left="100"/>
        <w:rPr>
          <w:color w:val="2F2F2F"/>
          <w:szCs w:val="20"/>
          <w:lang w:bidi="fr-FR"/>
        </w:rPr>
      </w:pPr>
      <w:r w:rsidRPr="00DB1D7E">
        <w:rPr>
          <w:b/>
          <w:color w:val="2F2F2F"/>
          <w:szCs w:val="20"/>
          <w:lang w:bidi="fr-FR"/>
        </w:rPr>
        <w:t>Ne buvez pas l’eau, ne la faites pas bouillir</w:t>
      </w:r>
      <w:r w:rsidRPr="00DB1D7E">
        <w:rPr>
          <w:color w:val="2F2F2F"/>
          <w:szCs w:val="20"/>
          <w:lang w:bidi="fr-FR"/>
        </w:rPr>
        <w:t>. L’eau en bouteille peut être utilisée pour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88"/>
      </w:tblGrid>
      <w:tr w:rsidR="00DB1D7E" w14:paraId="774C7CEB" w14:textId="77777777" w:rsidTr="00DB1D7E">
        <w:tc>
          <w:tcPr>
            <w:tcW w:w="5200" w:type="dxa"/>
          </w:tcPr>
          <w:p w14:paraId="68C6608C" w14:textId="77777777" w:rsidR="00DB1D7E" w:rsidRPr="00DB1D7E" w:rsidRDefault="00DB1D7E" w:rsidP="00DB1D7E">
            <w:pPr>
              <w:pStyle w:val="ListParagraph"/>
              <w:numPr>
                <w:ilvl w:val="0"/>
                <w:numId w:val="1"/>
              </w:numPr>
              <w:tabs>
                <w:tab w:val="left" w:pos="820"/>
                <w:tab w:val="left" w:pos="821"/>
              </w:tabs>
              <w:spacing w:before="100" w:line="240" w:lineRule="auto"/>
              <w:rPr>
                <w:szCs w:val="20"/>
              </w:rPr>
            </w:pPr>
            <w:proofErr w:type="gramStart"/>
            <w:r w:rsidRPr="00DB1D7E">
              <w:rPr>
                <w:color w:val="2F2F2F"/>
                <w:szCs w:val="20"/>
                <w:lang w:bidi="fr-FR"/>
              </w:rPr>
              <w:t>boire</w:t>
            </w:r>
            <w:proofErr w:type="gramEnd"/>
            <w:r w:rsidRPr="00DB1D7E">
              <w:rPr>
                <w:color w:val="2F2F2F"/>
                <w:szCs w:val="20"/>
                <w:lang w:bidi="fr-FR"/>
              </w:rPr>
              <w:t> ;</w:t>
            </w:r>
          </w:p>
          <w:p w14:paraId="1D72C902" w14:textId="77777777" w:rsidR="00DB1D7E" w:rsidRPr="00DB1D7E" w:rsidRDefault="00DB1D7E" w:rsidP="00DB1D7E">
            <w:pPr>
              <w:pStyle w:val="ListParagraph"/>
              <w:numPr>
                <w:ilvl w:val="0"/>
                <w:numId w:val="1"/>
              </w:numPr>
              <w:tabs>
                <w:tab w:val="left" w:pos="820"/>
                <w:tab w:val="left" w:pos="821"/>
              </w:tabs>
              <w:spacing w:before="1"/>
              <w:rPr>
                <w:szCs w:val="20"/>
              </w:rPr>
            </w:pPr>
            <w:r w:rsidRPr="00DB1D7E">
              <w:rPr>
                <w:color w:val="2F2F2F"/>
                <w:szCs w:val="20"/>
                <w:lang w:bidi="fr-FR"/>
              </w:rPr>
              <w:t>faire la cuisine et préparer des aliments ;</w:t>
            </w:r>
          </w:p>
          <w:p w14:paraId="579605A7" w14:textId="77777777" w:rsidR="00DB1D7E" w:rsidRPr="00DB1D7E" w:rsidRDefault="00DB1D7E" w:rsidP="00DB1D7E">
            <w:pPr>
              <w:pStyle w:val="ListParagraph"/>
              <w:numPr>
                <w:ilvl w:val="0"/>
                <w:numId w:val="1"/>
              </w:numPr>
              <w:tabs>
                <w:tab w:val="left" w:pos="820"/>
                <w:tab w:val="left" w:pos="821"/>
              </w:tabs>
              <w:rPr>
                <w:szCs w:val="20"/>
              </w:rPr>
            </w:pPr>
            <w:r w:rsidRPr="00DB1D7E">
              <w:rPr>
                <w:color w:val="2F2F2F"/>
                <w:szCs w:val="20"/>
                <w:lang w:bidi="fr-FR"/>
              </w:rPr>
              <w:t>faire du jus ou de la glace ;</w:t>
            </w:r>
          </w:p>
          <w:p w14:paraId="19088B2B" w14:textId="0537B437" w:rsidR="00DB1D7E" w:rsidRPr="00DB1D7E" w:rsidRDefault="00DB1D7E" w:rsidP="00DB1D7E">
            <w:pPr>
              <w:pStyle w:val="ListParagraph"/>
              <w:numPr>
                <w:ilvl w:val="0"/>
                <w:numId w:val="1"/>
              </w:numPr>
              <w:tabs>
                <w:tab w:val="left" w:pos="820"/>
                <w:tab w:val="left" w:pos="821"/>
              </w:tabs>
              <w:spacing w:before="1" w:line="240" w:lineRule="auto"/>
              <w:rPr>
                <w:szCs w:val="20"/>
              </w:rPr>
            </w:pPr>
            <w:proofErr w:type="gramStart"/>
            <w:r w:rsidRPr="00DB1D7E">
              <w:rPr>
                <w:color w:val="2F2F2F"/>
                <w:szCs w:val="20"/>
                <w:lang w:bidi="fr-FR"/>
              </w:rPr>
              <w:t>se</w:t>
            </w:r>
            <w:proofErr w:type="gramEnd"/>
            <w:r w:rsidRPr="00DB1D7E">
              <w:rPr>
                <w:color w:val="2F2F2F"/>
                <w:szCs w:val="20"/>
                <w:lang w:bidi="fr-FR"/>
              </w:rPr>
              <w:t xml:space="preserve"> brosser les dents ;</w:t>
            </w:r>
          </w:p>
        </w:tc>
        <w:tc>
          <w:tcPr>
            <w:tcW w:w="5200" w:type="dxa"/>
          </w:tcPr>
          <w:p w14:paraId="2E78E6D5" w14:textId="77777777" w:rsidR="00DB1D7E" w:rsidRPr="00DB1D7E" w:rsidRDefault="00DB1D7E" w:rsidP="00DB1D7E">
            <w:pPr>
              <w:pStyle w:val="ListParagraph"/>
              <w:numPr>
                <w:ilvl w:val="0"/>
                <w:numId w:val="1"/>
              </w:numPr>
              <w:tabs>
                <w:tab w:val="left" w:pos="820"/>
                <w:tab w:val="left" w:pos="821"/>
              </w:tabs>
              <w:spacing w:before="100" w:line="240" w:lineRule="auto"/>
              <w:ind w:left="820"/>
              <w:rPr>
                <w:szCs w:val="20"/>
              </w:rPr>
            </w:pPr>
            <w:proofErr w:type="gramStart"/>
            <w:r w:rsidRPr="00DB1D7E">
              <w:rPr>
                <w:color w:val="2F2F2F"/>
                <w:szCs w:val="20"/>
                <w:lang w:bidi="fr-FR"/>
              </w:rPr>
              <w:t>faire</w:t>
            </w:r>
            <w:proofErr w:type="gramEnd"/>
            <w:r w:rsidRPr="00DB1D7E">
              <w:rPr>
                <w:color w:val="2F2F2F"/>
                <w:szCs w:val="20"/>
                <w:lang w:bidi="fr-FR"/>
              </w:rPr>
              <w:t xml:space="preserve"> la vaisselle ;</w:t>
            </w:r>
          </w:p>
          <w:p w14:paraId="6F3C4248" w14:textId="77777777" w:rsidR="00DB1D7E" w:rsidRPr="00DB1D7E" w:rsidRDefault="00DB1D7E" w:rsidP="00DB1D7E">
            <w:pPr>
              <w:pStyle w:val="ListParagraph"/>
              <w:numPr>
                <w:ilvl w:val="0"/>
                <w:numId w:val="1"/>
              </w:numPr>
              <w:tabs>
                <w:tab w:val="left" w:pos="820"/>
                <w:tab w:val="left" w:pos="821"/>
              </w:tabs>
              <w:spacing w:before="1"/>
              <w:ind w:left="820"/>
              <w:rPr>
                <w:szCs w:val="20"/>
              </w:rPr>
            </w:pPr>
            <w:r w:rsidRPr="00DB1D7E">
              <w:rPr>
                <w:color w:val="2F2F2F"/>
                <w:szCs w:val="20"/>
                <w:lang w:bidi="fr-FR"/>
              </w:rPr>
              <w:t>préparer du lait maternisé/des biberons ;</w:t>
            </w:r>
          </w:p>
          <w:p w14:paraId="77CFBB2C" w14:textId="2EBE3310" w:rsidR="00DB1D7E" w:rsidRPr="00DB1D7E" w:rsidRDefault="00DB1D7E" w:rsidP="00DB1D7E">
            <w:pPr>
              <w:pStyle w:val="ListParagraph"/>
              <w:numPr>
                <w:ilvl w:val="0"/>
                <w:numId w:val="1"/>
              </w:numPr>
              <w:tabs>
                <w:tab w:val="left" w:pos="820"/>
                <w:tab w:val="left" w:pos="821"/>
              </w:tabs>
              <w:ind w:left="820"/>
              <w:rPr>
                <w:szCs w:val="20"/>
              </w:rPr>
            </w:pPr>
            <w:proofErr w:type="gramStart"/>
            <w:r w:rsidRPr="00DB1D7E">
              <w:rPr>
                <w:color w:val="2F2F2F"/>
                <w:szCs w:val="20"/>
                <w:lang w:bidi="fr-FR"/>
              </w:rPr>
              <w:t>laver</w:t>
            </w:r>
            <w:proofErr w:type="gramEnd"/>
            <w:r w:rsidRPr="00DB1D7E">
              <w:rPr>
                <w:color w:val="2F2F2F"/>
                <w:szCs w:val="20"/>
                <w:lang w:bidi="fr-FR"/>
              </w:rPr>
              <w:t xml:space="preserve"> les fruits et légumes ;</w:t>
            </w:r>
          </w:p>
        </w:tc>
      </w:tr>
    </w:tbl>
    <w:p w14:paraId="356B901D" w14:textId="77777777" w:rsidR="00F21994" w:rsidRPr="00DB1D7E" w:rsidRDefault="00F21994">
      <w:pPr>
        <w:rPr>
          <w:sz w:val="10"/>
          <w:szCs w:val="20"/>
        </w:rPr>
        <w:sectPr w:rsidR="00F21994" w:rsidRPr="00DB1D7E">
          <w:headerReference w:type="default" r:id="rId9"/>
          <w:footerReference w:type="default" r:id="rId10"/>
          <w:type w:val="continuous"/>
          <w:pgSz w:w="12240" w:h="15840"/>
          <w:pgMar w:top="1560" w:right="1000" w:bottom="1220" w:left="980" w:header="720" w:footer="720" w:gutter="0"/>
          <w:cols w:space="720"/>
        </w:sectPr>
      </w:pPr>
    </w:p>
    <w:p w14:paraId="58E426B2" w14:textId="77777777" w:rsidR="00F21994" w:rsidRPr="00DB1D7E" w:rsidRDefault="00F21994">
      <w:pPr>
        <w:pStyle w:val="BodyText"/>
        <w:spacing w:before="7"/>
        <w:rPr>
          <w:sz w:val="14"/>
          <w:szCs w:val="22"/>
        </w:rPr>
      </w:pPr>
    </w:p>
    <w:p w14:paraId="43AD5E78" w14:textId="77777777" w:rsidR="00F21994" w:rsidRPr="00DB1D7E" w:rsidRDefault="00000000">
      <w:pPr>
        <w:pStyle w:val="BodyText"/>
        <w:spacing w:before="92" w:line="242" w:lineRule="auto"/>
        <w:ind w:left="100" w:right="401"/>
        <w:rPr>
          <w:sz w:val="22"/>
          <w:szCs w:val="22"/>
        </w:rPr>
      </w:pPr>
      <w:r w:rsidRPr="00DB1D7E">
        <w:rPr>
          <w:color w:val="2F2F2F"/>
          <w:sz w:val="22"/>
          <w:szCs w:val="22"/>
          <w:lang w:bidi="fr-FR"/>
        </w:rPr>
        <w:t>Utilisez de l’eau provenant d’une autre source, présentant une qualité adéquate, ou utilisez de l’eau en bouteille. Ne faites pas bouillir votre eau. Une ébullition excessive peut entraîner une plus grande concentration de certains contaminants.</w:t>
      </w:r>
    </w:p>
    <w:p w14:paraId="6D0DF955" w14:textId="77777777" w:rsidR="00F21994" w:rsidRPr="00DB1D7E" w:rsidRDefault="00F21994">
      <w:pPr>
        <w:spacing w:line="242" w:lineRule="auto"/>
        <w:rPr>
          <w:sz w:val="20"/>
          <w:szCs w:val="20"/>
        </w:rPr>
        <w:sectPr w:rsidR="00F21994" w:rsidRPr="00DB1D7E" w:rsidSect="00DB1D7E">
          <w:type w:val="continuous"/>
          <w:pgSz w:w="12240" w:h="15840"/>
          <w:pgMar w:top="1560" w:right="1000" w:bottom="1134" w:left="980" w:header="720" w:footer="720" w:gutter="0"/>
          <w:cols w:space="720"/>
        </w:sectPr>
      </w:pPr>
    </w:p>
    <w:p w14:paraId="4C23269E" w14:textId="77777777" w:rsidR="00F21994" w:rsidRPr="00DB1D7E" w:rsidRDefault="00F21994">
      <w:pPr>
        <w:pStyle w:val="BodyText"/>
        <w:rPr>
          <w:sz w:val="14"/>
          <w:szCs w:val="22"/>
        </w:rPr>
      </w:pPr>
    </w:p>
    <w:p w14:paraId="7B8D553C" w14:textId="77777777" w:rsidR="00F21994" w:rsidRPr="00DB1D7E" w:rsidRDefault="00000000">
      <w:pPr>
        <w:pStyle w:val="BodyText"/>
        <w:spacing w:before="92"/>
        <w:ind w:left="100"/>
        <w:rPr>
          <w:sz w:val="22"/>
          <w:szCs w:val="22"/>
        </w:rPr>
      </w:pPr>
      <w:r w:rsidRPr="00DB1D7E">
        <w:rPr>
          <w:color w:val="2F2F2F"/>
          <w:sz w:val="22"/>
          <w:szCs w:val="22"/>
          <w:lang w:bidi="fr-FR"/>
        </w:rPr>
        <w:t>Vous pouvez utiliser cette eau pour les chasses d’eau, les douches et le lavage des mains.</w:t>
      </w:r>
    </w:p>
    <w:p w14:paraId="780BD6D4" w14:textId="77777777" w:rsidR="00F21994" w:rsidRPr="00DB1D7E" w:rsidRDefault="00F21994">
      <w:pPr>
        <w:pStyle w:val="BodyText"/>
        <w:spacing w:before="9"/>
        <w:rPr>
          <w:sz w:val="18"/>
          <w:szCs w:val="22"/>
        </w:rPr>
      </w:pPr>
    </w:p>
    <w:p w14:paraId="793D82EA" w14:textId="77777777" w:rsidR="00F21994" w:rsidRPr="00DB1D7E" w:rsidRDefault="00000000">
      <w:pPr>
        <w:pStyle w:val="BodyText"/>
        <w:spacing w:before="1"/>
        <w:ind w:left="100" w:right="159"/>
        <w:rPr>
          <w:sz w:val="22"/>
          <w:szCs w:val="22"/>
        </w:rPr>
      </w:pPr>
      <w:r w:rsidRPr="00DB1D7E">
        <w:rPr>
          <w:color w:val="2F2F2F"/>
          <w:sz w:val="22"/>
          <w:szCs w:val="22"/>
          <w:lang w:bidi="fr-FR"/>
        </w:rPr>
        <w:t>Les personnes dont le système immunitaire est fortement affaibli, les nourrissons et certaines personnes âgées peuvent courir un risque accru. Ces personnes sont invitées à consulter leur médecin au sujet de l’eau potable.</w:t>
      </w:r>
    </w:p>
    <w:p w14:paraId="47D44D9C" w14:textId="77777777" w:rsidR="00F21994" w:rsidRPr="00DB1D7E" w:rsidRDefault="00F21994">
      <w:pPr>
        <w:pStyle w:val="BodyText"/>
        <w:spacing w:before="8"/>
        <w:rPr>
          <w:sz w:val="18"/>
          <w:szCs w:val="22"/>
        </w:rPr>
      </w:pPr>
    </w:p>
    <w:p w14:paraId="36B2243A" w14:textId="77777777" w:rsidR="00F21994" w:rsidRPr="00DB1D7E" w:rsidRDefault="00000000">
      <w:pPr>
        <w:ind w:left="100"/>
        <w:rPr>
          <w:b/>
          <w:sz w:val="16"/>
          <w:szCs w:val="20"/>
        </w:rPr>
      </w:pPr>
      <w:r w:rsidRPr="00DB1D7E">
        <w:rPr>
          <w:b/>
          <w:color w:val="2F2F2F"/>
          <w:sz w:val="16"/>
          <w:szCs w:val="20"/>
          <w:lang w:bidi="fr-FR"/>
        </w:rPr>
        <w:t>Avis de non-discrimination :</w:t>
      </w:r>
    </w:p>
    <w:p w14:paraId="6B2494A4" w14:textId="77777777" w:rsidR="00F21994" w:rsidRPr="00DB1D7E" w:rsidRDefault="00000000">
      <w:pPr>
        <w:spacing w:before="3"/>
        <w:ind w:left="100" w:right="157"/>
        <w:rPr>
          <w:sz w:val="16"/>
          <w:szCs w:val="20"/>
        </w:rPr>
      </w:pPr>
      <w:r w:rsidRPr="00DB1D7E">
        <w:rPr>
          <w:color w:val="2F2F2F"/>
          <w:sz w:val="16"/>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75675408" w14:textId="77777777" w:rsidR="00F21994" w:rsidRPr="00DB1D7E" w:rsidRDefault="00F21994">
      <w:pPr>
        <w:pStyle w:val="BodyText"/>
        <w:spacing w:before="9"/>
        <w:rPr>
          <w:sz w:val="15"/>
          <w:szCs w:val="22"/>
        </w:rPr>
      </w:pPr>
    </w:p>
    <w:p w14:paraId="180FABDF" w14:textId="77777777" w:rsidR="00F21994" w:rsidRPr="00DB1D7E" w:rsidRDefault="00000000">
      <w:pPr>
        <w:ind w:left="100"/>
        <w:rPr>
          <w:b/>
          <w:sz w:val="16"/>
          <w:szCs w:val="20"/>
        </w:rPr>
      </w:pPr>
      <w:r w:rsidRPr="00DB1D7E">
        <w:rPr>
          <w:b/>
          <w:color w:val="2F2F2F"/>
          <w:sz w:val="16"/>
          <w:szCs w:val="20"/>
          <w:lang w:bidi="fr-FR"/>
        </w:rPr>
        <w:t>Avis relatif à l’accès linguistique :</w:t>
      </w:r>
    </w:p>
    <w:p w14:paraId="44E2C271" w14:textId="12840626" w:rsidR="00F21994" w:rsidRDefault="008063B4" w:rsidP="0052595F">
      <w:pPr>
        <w:spacing w:before="3" w:line="268" w:lineRule="auto"/>
        <w:ind w:left="100"/>
        <w:rPr>
          <w:color w:val="2F2F2F"/>
          <w:sz w:val="16"/>
          <w:szCs w:val="20"/>
          <w:lang w:bidi="fr-FR"/>
        </w:rPr>
      </w:pPr>
      <w:r w:rsidRPr="00CA7F37">
        <w:rPr>
          <w:rFonts w:cs="Myanmar Text"/>
          <w:noProof/>
          <w:sz w:val="16"/>
          <w:szCs w:val="16"/>
          <w:cs/>
          <w:lang w:bidi="my-MM"/>
        </w:rPr>
        <w:drawing>
          <wp:inline distT="0" distB="0" distL="0" distR="0" wp14:anchorId="6DECA1D0" wp14:editId="609DBA10">
            <wp:extent cx="6515100" cy="872490"/>
            <wp:effectExtent l="0" t="0" r="0" b="3810"/>
            <wp:docPr id="1173637894" name="Picture 1" descr="A close-up of a pho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37894" name="Picture 1" descr="A close-up of a phone number&#10;&#10;Description automatically generated"/>
                    <pic:cNvPicPr/>
                  </pic:nvPicPr>
                  <pic:blipFill>
                    <a:blip r:embed="rId11"/>
                    <a:stretch>
                      <a:fillRect/>
                    </a:stretch>
                  </pic:blipFill>
                  <pic:spPr>
                    <a:xfrm>
                      <a:off x="0" y="0"/>
                      <a:ext cx="6515100" cy="872490"/>
                    </a:xfrm>
                    <a:prstGeom prst="rect">
                      <a:avLst/>
                    </a:prstGeom>
                  </pic:spPr>
                </pic:pic>
              </a:graphicData>
            </a:graphic>
          </wp:inline>
        </w:drawing>
      </w:r>
    </w:p>
    <w:p w14:paraId="512D1A9F" w14:textId="0F32AF25" w:rsidR="008063B4" w:rsidRPr="00DB1D7E" w:rsidRDefault="008063B4" w:rsidP="0052595F">
      <w:pPr>
        <w:spacing w:before="3" w:line="268" w:lineRule="auto"/>
        <w:ind w:left="100"/>
        <w:rPr>
          <w:sz w:val="16"/>
          <w:szCs w:val="16"/>
        </w:rPr>
        <w:sectPr w:rsidR="008063B4" w:rsidRPr="00DB1D7E">
          <w:pgSz w:w="12240" w:h="15840"/>
          <w:pgMar w:top="1560" w:right="1000" w:bottom="1220" w:left="980" w:header="720" w:footer="1036" w:gutter="0"/>
          <w:cols w:space="720"/>
        </w:sectPr>
      </w:pPr>
    </w:p>
    <w:p w14:paraId="36A14464" w14:textId="225D731C" w:rsidR="00F21994" w:rsidRPr="00DB1D7E" w:rsidRDefault="00F21994" w:rsidP="0052595F">
      <w:pPr>
        <w:spacing w:before="3"/>
        <w:ind w:left="69"/>
        <w:rPr>
          <w:sz w:val="16"/>
          <w:szCs w:val="16"/>
        </w:rPr>
      </w:pPr>
    </w:p>
    <w:sectPr w:rsidR="00F21994" w:rsidRPr="00DB1D7E">
      <w:type w:val="continuous"/>
      <w:pgSz w:w="12240" w:h="15840"/>
      <w:pgMar w:top="1560" w:right="1000" w:bottom="1220" w:left="980" w:header="720" w:footer="720" w:gutter="0"/>
      <w:cols w:num="3" w:space="720" w:equalWidth="0">
        <w:col w:w="6523" w:space="40"/>
        <w:col w:w="440" w:space="39"/>
        <w:col w:w="3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2080" w14:textId="77777777" w:rsidR="00AA4E92" w:rsidRDefault="00AA4E92">
      <w:r>
        <w:separator/>
      </w:r>
    </w:p>
  </w:endnote>
  <w:endnote w:type="continuationSeparator" w:id="0">
    <w:p w14:paraId="56398F6F" w14:textId="77777777" w:rsidR="00AA4E92" w:rsidRDefault="00AA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855" w14:textId="3BBC7942" w:rsidR="00F21994" w:rsidRDefault="00000000">
    <w:pPr>
      <w:pStyle w:val="BodyText"/>
      <w:spacing w:line="14" w:lineRule="auto"/>
      <w:rPr>
        <w:sz w:val="20"/>
      </w:rPr>
    </w:pPr>
    <w:r>
      <w:rPr>
        <w:noProof/>
        <w:lang w:bidi="fr-FR"/>
      </w:rPr>
      <w:pict w14:anchorId="5748225B">
        <v:shapetype id="_x0000_t202" coordsize="21600,21600" o:spt="202" path="m,l,21600r21600,l21600,xe">
          <v:stroke joinstyle="miter"/>
          <v:path gradientshapeok="t" o:connecttype="rect"/>
        </v:shapetype>
        <v:shape id="_x0000_s1025" type="#_x0000_t202" style="position:absolute;margin-left:288.15pt;margin-top:738.9pt;width:51.35pt;height:16.1pt;z-index:-15791104;mso-position-horizontal-relative:page;mso-position-vertical-relative:page" filled="f" stroked="f">
          <v:textbox style="mso-next-textbox:#_x0000_s1025" inset="0,0,0,0">
            <w:txbxContent>
              <w:p w14:paraId="00F9D5A3" w14:textId="77777777" w:rsidR="00F21994" w:rsidRDefault="00000000">
                <w:pPr>
                  <w:pStyle w:val="BodyText"/>
                  <w:spacing w:before="12"/>
                  <w:ind w:left="60"/>
                </w:pPr>
                <w:r>
                  <w:rPr>
                    <w:lang w:bidi="fr-FR"/>
                  </w:rPr>
                  <w:fldChar w:fldCharType="begin"/>
                </w:r>
                <w:r>
                  <w:rPr>
                    <w:color w:val="2F2F2F"/>
                    <w:lang w:bidi="fr-FR"/>
                  </w:rPr>
                  <w:instrText xml:space="preserve"> PAGE </w:instrText>
                </w:r>
                <w:r>
                  <w:rPr>
                    <w:lang w:bidi="fr-FR"/>
                  </w:rPr>
                  <w:fldChar w:fldCharType="separate"/>
                </w:r>
                <w:r>
                  <w:rPr>
                    <w:lang w:bidi="fr-FR"/>
                  </w:rPr>
                  <w:t>1</w:t>
                </w:r>
                <w:r>
                  <w:rPr>
                    <w:lang w:bidi="fr-FR"/>
                  </w:rPr>
                  <w:fldChar w:fldCharType="end"/>
                </w:r>
                <w:r>
                  <w:rPr>
                    <w:b/>
                    <w:color w:val="2F2F2F"/>
                    <w:lang w:bidi="fr-FR"/>
                  </w:rPr>
                  <w:t xml:space="preserve"> </w:t>
                </w:r>
                <w:r>
                  <w:rPr>
                    <w:color w:val="2F2F2F"/>
                    <w:lang w:bidi="fr-FR"/>
                  </w:rPr>
                  <w:t>sur 2</w:t>
                </w:r>
              </w:p>
            </w:txbxContent>
          </v:textbox>
          <w10:wrap anchorx="page" anchory="page"/>
        </v:shape>
      </w:pict>
    </w:r>
    <w:r w:rsidR="00DB1D7E">
      <w:rPr>
        <w:noProof/>
        <w:lang w:bidi="fr-FR"/>
      </w:rPr>
      <w:drawing>
        <wp:anchor distT="0" distB="0" distL="0" distR="0" simplePos="0" relativeHeight="251664384" behindDoc="1" locked="0" layoutInCell="1" allowOverlap="1" wp14:anchorId="09E19B7F" wp14:editId="2F171CF9">
          <wp:simplePos x="0" y="0"/>
          <wp:positionH relativeFrom="page">
            <wp:posOffset>5212079</wp:posOffset>
          </wp:positionH>
          <wp:positionV relativeFrom="page">
            <wp:posOffset>9273565</wp:posOffset>
          </wp:positionV>
          <wp:extent cx="2155189" cy="457200"/>
          <wp:effectExtent l="0" t="0" r="0" b="0"/>
          <wp:wrapNone/>
          <wp:docPr id="162727925" name="Picture 162727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fr-FR"/>
      </w:rPr>
      <w:pict w14:anchorId="24BF3B06">
        <v:shape id="_x0000_s1026" type="#_x0000_t202" style="position:absolute;margin-left:53.05pt;margin-top:738.9pt;width:105.7pt;height:15.45pt;z-index:-15791616;mso-position-horizontal-relative:page;mso-position-vertical-relative:page" filled="f" stroked="f">
          <v:textbox style="mso-next-textbox:#_x0000_s1026" inset="0,0,0,0">
            <w:txbxContent>
              <w:p w14:paraId="681F876B" w14:textId="77777777" w:rsidR="00F21994" w:rsidRDefault="00000000">
                <w:pPr>
                  <w:pStyle w:val="BodyText"/>
                  <w:spacing w:before="12"/>
                  <w:ind w:left="20"/>
                </w:pPr>
                <w:r>
                  <w:rPr>
                    <w:color w:val="2F2F2F"/>
                    <w:lang w:bidi="fr-FR"/>
                  </w:rPr>
                  <w:t>Révisé : le 15 juillet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35D6" w14:textId="77777777" w:rsidR="00AA4E92" w:rsidRDefault="00AA4E92">
      <w:r>
        <w:separator/>
      </w:r>
    </w:p>
  </w:footnote>
  <w:footnote w:type="continuationSeparator" w:id="0">
    <w:p w14:paraId="383F78E1" w14:textId="77777777" w:rsidR="00AA4E92" w:rsidRDefault="00AA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4E" w14:textId="1D5194CF" w:rsidR="00F21994" w:rsidRDefault="00000000">
    <w:pPr>
      <w:pStyle w:val="BodyText"/>
      <w:spacing w:line="14" w:lineRule="auto"/>
      <w:rPr>
        <w:sz w:val="20"/>
      </w:rPr>
    </w:pPr>
    <w:r>
      <w:rPr>
        <w:lang w:bidi="fr-FR"/>
      </w:rPr>
      <w:pict w14:anchorId="3590AA4A">
        <v:shapetype id="_x0000_t202" coordsize="21600,21600" o:spt="202" path="m,l,21600r21600,l21600,xe">
          <v:stroke joinstyle="miter"/>
          <v:path gradientshapeok="t" o:connecttype="rect"/>
        </v:shapetype>
        <v:shape id="_x0000_s1027" type="#_x0000_t202" style="position:absolute;margin-left:83.05pt;margin-top:35.4pt;width:315.1pt;height:29.2pt;z-index:-15792640;mso-position-horizontal-relative:page;mso-position-vertical-relative:page" filled="f" stroked="f">
          <v:textbox style="mso-next-textbox:#_x0000_s1027" inset="0,0,0,0">
            <w:txbxContent>
              <w:p w14:paraId="055ADA59" w14:textId="77777777" w:rsidR="00F21994" w:rsidRDefault="00000000">
                <w:pPr>
                  <w:pStyle w:val="BodyText"/>
                  <w:spacing w:before="12" w:line="275" w:lineRule="exact"/>
                  <w:ind w:left="20"/>
                </w:pPr>
                <w:r>
                  <w:rPr>
                    <w:color w:val="2F2F2F"/>
                    <w:lang w:bidi="fr-FR"/>
                  </w:rPr>
                  <w:t>État du Vermont, Agence des ressources naturelles</w:t>
                </w:r>
              </w:p>
              <w:p w14:paraId="09774148" w14:textId="77777777" w:rsidR="00F21994" w:rsidRDefault="00000000">
                <w:pPr>
                  <w:spacing w:line="275" w:lineRule="exact"/>
                  <w:ind w:left="20"/>
                  <w:rPr>
                    <w:rFonts w:ascii="Arial"/>
                    <w:b/>
                    <w:sz w:val="24"/>
                  </w:rPr>
                </w:pPr>
                <w:r>
                  <w:rPr>
                    <w:b/>
                    <w:color w:val="2F2F2F"/>
                    <w:sz w:val="24"/>
                    <w:lang w:bidi="fr-FR"/>
                  </w:rPr>
                  <w:t>Ressources de récupération post-inondations</w:t>
                </w:r>
              </w:p>
            </w:txbxContent>
          </v:textbox>
          <w10:wrap anchorx="page" anchory="page"/>
        </v:shape>
      </w:pict>
    </w:r>
    <w:r w:rsidR="00DB1D7E">
      <w:rPr>
        <w:noProof/>
        <w:lang w:bidi="fr-FR"/>
      </w:rPr>
      <w:drawing>
        <wp:anchor distT="0" distB="0" distL="0" distR="0" simplePos="0" relativeHeight="251657216" behindDoc="1" locked="0" layoutInCell="1" allowOverlap="1" wp14:anchorId="5A92B70B" wp14:editId="761915F2">
          <wp:simplePos x="0" y="0"/>
          <wp:positionH relativeFrom="page">
            <wp:posOffset>685800</wp:posOffset>
          </wp:positionH>
          <wp:positionV relativeFrom="page">
            <wp:posOffset>457212</wp:posOffset>
          </wp:positionV>
          <wp:extent cx="240722" cy="365239"/>
          <wp:effectExtent l="0" t="0" r="0" b="0"/>
          <wp:wrapNone/>
          <wp:docPr id="38590842" name="Picture 3859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Pr>
        <w:lang w:bidi="fr-FR"/>
      </w:rPr>
      <w:pict w14:anchorId="0D3E996D">
        <v:shape id="_x0000_s1028" style="position:absolute;margin-left:54.05pt;margin-top:77.55pt;width:504.25pt;height:.5pt;z-index:-15793152;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EB"/>
    <w:multiLevelType w:val="hybridMultilevel"/>
    <w:tmpl w:val="A24CA838"/>
    <w:lvl w:ilvl="0" w:tplc="DE1ED632">
      <w:numFmt w:val="bullet"/>
      <w:lvlText w:val=""/>
      <w:lvlJc w:val="left"/>
      <w:pPr>
        <w:ind w:left="821" w:hanging="361"/>
      </w:pPr>
      <w:rPr>
        <w:rFonts w:ascii="Symbol" w:eastAsia="Symbol" w:hAnsi="Symbol" w:cs="Symbol" w:hint="default"/>
        <w:color w:val="2F2F2F"/>
        <w:w w:val="100"/>
        <w:sz w:val="24"/>
        <w:szCs w:val="24"/>
        <w:lang w:val="en-US" w:eastAsia="en-US" w:bidi="ar-SA"/>
      </w:rPr>
    </w:lvl>
    <w:lvl w:ilvl="1" w:tplc="C3E8226E">
      <w:numFmt w:val="bullet"/>
      <w:lvlText w:val="•"/>
      <w:lvlJc w:val="left"/>
      <w:pPr>
        <w:ind w:left="1135" w:hanging="361"/>
      </w:pPr>
      <w:rPr>
        <w:rFonts w:hint="default"/>
        <w:lang w:val="en-US" w:eastAsia="en-US" w:bidi="ar-SA"/>
      </w:rPr>
    </w:lvl>
    <w:lvl w:ilvl="2" w:tplc="16B8E572">
      <w:numFmt w:val="bullet"/>
      <w:lvlText w:val="•"/>
      <w:lvlJc w:val="left"/>
      <w:pPr>
        <w:ind w:left="1450" w:hanging="361"/>
      </w:pPr>
      <w:rPr>
        <w:rFonts w:hint="default"/>
        <w:lang w:val="en-US" w:eastAsia="en-US" w:bidi="ar-SA"/>
      </w:rPr>
    </w:lvl>
    <w:lvl w:ilvl="3" w:tplc="06263ACE">
      <w:numFmt w:val="bullet"/>
      <w:lvlText w:val="•"/>
      <w:lvlJc w:val="left"/>
      <w:pPr>
        <w:ind w:left="1765" w:hanging="361"/>
      </w:pPr>
      <w:rPr>
        <w:rFonts w:hint="default"/>
        <w:lang w:val="en-US" w:eastAsia="en-US" w:bidi="ar-SA"/>
      </w:rPr>
    </w:lvl>
    <w:lvl w:ilvl="4" w:tplc="642C8A60">
      <w:numFmt w:val="bullet"/>
      <w:lvlText w:val="•"/>
      <w:lvlJc w:val="left"/>
      <w:pPr>
        <w:ind w:left="2080" w:hanging="361"/>
      </w:pPr>
      <w:rPr>
        <w:rFonts w:hint="default"/>
        <w:lang w:val="en-US" w:eastAsia="en-US" w:bidi="ar-SA"/>
      </w:rPr>
    </w:lvl>
    <w:lvl w:ilvl="5" w:tplc="EB54A57C">
      <w:numFmt w:val="bullet"/>
      <w:lvlText w:val="•"/>
      <w:lvlJc w:val="left"/>
      <w:pPr>
        <w:ind w:left="2396" w:hanging="361"/>
      </w:pPr>
      <w:rPr>
        <w:rFonts w:hint="default"/>
        <w:lang w:val="en-US" w:eastAsia="en-US" w:bidi="ar-SA"/>
      </w:rPr>
    </w:lvl>
    <w:lvl w:ilvl="6" w:tplc="1728D3EC">
      <w:numFmt w:val="bullet"/>
      <w:lvlText w:val="•"/>
      <w:lvlJc w:val="left"/>
      <w:pPr>
        <w:ind w:left="2711" w:hanging="361"/>
      </w:pPr>
      <w:rPr>
        <w:rFonts w:hint="default"/>
        <w:lang w:val="en-US" w:eastAsia="en-US" w:bidi="ar-SA"/>
      </w:rPr>
    </w:lvl>
    <w:lvl w:ilvl="7" w:tplc="84448D82">
      <w:numFmt w:val="bullet"/>
      <w:lvlText w:val="•"/>
      <w:lvlJc w:val="left"/>
      <w:pPr>
        <w:ind w:left="3026" w:hanging="361"/>
      </w:pPr>
      <w:rPr>
        <w:rFonts w:hint="default"/>
        <w:lang w:val="en-US" w:eastAsia="en-US" w:bidi="ar-SA"/>
      </w:rPr>
    </w:lvl>
    <w:lvl w:ilvl="8" w:tplc="17C403F4">
      <w:numFmt w:val="bullet"/>
      <w:lvlText w:val="•"/>
      <w:lvlJc w:val="left"/>
      <w:pPr>
        <w:ind w:left="3341" w:hanging="361"/>
      </w:pPr>
      <w:rPr>
        <w:rFonts w:hint="default"/>
        <w:lang w:val="en-US" w:eastAsia="en-US" w:bidi="ar-SA"/>
      </w:rPr>
    </w:lvl>
  </w:abstractNum>
  <w:num w:numId="1" w16cid:durableId="10378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1994"/>
    <w:rsid w:val="001A5A44"/>
    <w:rsid w:val="00422DC4"/>
    <w:rsid w:val="0052595F"/>
    <w:rsid w:val="005C04C7"/>
    <w:rsid w:val="008063B4"/>
    <w:rsid w:val="00A15698"/>
    <w:rsid w:val="00AA4E92"/>
    <w:rsid w:val="00DB1D7E"/>
    <w:rsid w:val="00F219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C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707" w:right="2687"/>
      <w:jc w:val="center"/>
    </w:pPr>
    <w:rPr>
      <w:sz w:val="52"/>
      <w:szCs w:val="52"/>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95F"/>
    <w:pPr>
      <w:tabs>
        <w:tab w:val="center" w:pos="4419"/>
        <w:tab w:val="right" w:pos="8838"/>
      </w:tabs>
    </w:pPr>
  </w:style>
  <w:style w:type="character" w:customStyle="1" w:styleId="HeaderChar">
    <w:name w:val="Header Char"/>
    <w:basedOn w:val="DefaultParagraphFont"/>
    <w:link w:val="Header"/>
    <w:uiPriority w:val="99"/>
    <w:rsid w:val="0052595F"/>
    <w:rPr>
      <w:rFonts w:ascii="Arial MT" w:eastAsia="Arial MT" w:hAnsi="Arial MT" w:cs="Arial MT"/>
    </w:rPr>
  </w:style>
  <w:style w:type="paragraph" w:styleId="Footer">
    <w:name w:val="footer"/>
    <w:basedOn w:val="Normal"/>
    <w:link w:val="FooterChar"/>
    <w:uiPriority w:val="99"/>
    <w:unhideWhenUsed/>
    <w:rsid w:val="0052595F"/>
    <w:pPr>
      <w:tabs>
        <w:tab w:val="center" w:pos="4419"/>
        <w:tab w:val="right" w:pos="8838"/>
      </w:tabs>
    </w:pPr>
  </w:style>
  <w:style w:type="character" w:customStyle="1" w:styleId="FooterChar">
    <w:name w:val="Footer Char"/>
    <w:basedOn w:val="DefaultParagraphFont"/>
    <w:link w:val="Footer"/>
    <w:uiPriority w:val="99"/>
    <w:rsid w:val="0052595F"/>
    <w:rPr>
      <w:rFonts w:ascii="Arial MT" w:eastAsia="Arial MT" w:hAnsi="Arial MT" w:cs="Arial MT"/>
    </w:rPr>
  </w:style>
  <w:style w:type="table" w:styleId="TableGrid">
    <w:name w:val="Table Grid"/>
    <w:basedOn w:val="TableNormal"/>
    <w:uiPriority w:val="39"/>
    <w:rsid w:val="00DB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rweb.vt.gov/DEC/DWGWP/license.aspx?Report=Boi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6888DC2F-EFDA-4BE2-A773-9FAEA7B8190F}"/>
</file>

<file path=customXml/itemProps2.xml><?xml version="1.0" encoding="utf-8"?>
<ds:datastoreItem xmlns:ds="http://schemas.openxmlformats.org/officeDocument/2006/customXml" ds:itemID="{5AD2E8B6-F0AA-4496-A1B5-B54DC72B5784}"/>
</file>

<file path=customXml/itemProps3.xml><?xml version="1.0" encoding="utf-8"?>
<ds:datastoreItem xmlns:ds="http://schemas.openxmlformats.org/officeDocument/2006/customXml" ds:itemID="{19B45203-9E3C-4904-9F81-D2E899C9EC3C}"/>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2023-07-18T16:14:00Z</dcterms:created>
  <dcterms:modified xsi:type="dcterms:W3CDTF">2023-07-19T18:52:00Z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