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64511" w14:textId="77777777" w:rsidR="00F21994" w:rsidRPr="00976BA9" w:rsidRDefault="00F21994">
      <w:pPr>
        <w:pStyle w:val="BodyText"/>
        <w:spacing w:before="2"/>
        <w:rPr>
          <w:sz w:val="14"/>
          <w:szCs w:val="22"/>
        </w:rPr>
      </w:pPr>
    </w:p>
    <w:p w14:paraId="5334761D" w14:textId="77777777" w:rsidR="00F21994" w:rsidRPr="00976BA9" w:rsidRDefault="00000000">
      <w:pPr>
        <w:pStyle w:val="Title"/>
        <w:rPr>
          <w:sz w:val="50"/>
          <w:szCs w:val="50"/>
        </w:rPr>
      </w:pPr>
      <w:bookmarkStart w:id="0" w:name="Public_Water_Notices"/>
      <w:bookmarkEnd w:id="0"/>
      <w:r w:rsidRPr="00976BA9">
        <w:rPr>
          <w:color w:val="2F2F2F"/>
          <w:sz w:val="50"/>
          <w:szCs w:val="50"/>
          <w:lang w:bidi="es-US"/>
        </w:rPr>
        <w:t>Avisos sobre la red pública de agua</w:t>
      </w:r>
    </w:p>
    <w:p w14:paraId="1EA427AE" w14:textId="77777777" w:rsidR="00F21994" w:rsidRPr="00976BA9" w:rsidRDefault="00000000">
      <w:pPr>
        <w:pStyle w:val="BodyText"/>
        <w:spacing w:before="250"/>
        <w:ind w:left="100" w:right="100"/>
        <w:rPr>
          <w:sz w:val="22"/>
          <w:szCs w:val="22"/>
        </w:rPr>
      </w:pPr>
      <w:r w:rsidRPr="00976BA9">
        <w:rPr>
          <w:color w:val="2F2F2F"/>
          <w:sz w:val="22"/>
          <w:szCs w:val="22"/>
          <w:lang w:bidi="es-US"/>
        </w:rPr>
        <w:t>Si su sistema público de abastecimiento de agua ha sido incluido en la lista “Hervir el agua” o “No beber”, debería recibir un aviso del sistema de abastecimiento de agua con información específica sobre la situación y una guía sobre cómo proceder. Siga las instrucciones proporcionadas en este aviso. Si no ha recibido el aviso, o si tiene alguna pregunta sobre su agua, póngase en contacto con la red de abastecimiento (consulte la información de contacto en su factura de agua).</w:t>
      </w:r>
    </w:p>
    <w:p w14:paraId="1A92FC54" w14:textId="77777777" w:rsidR="00F21994" w:rsidRPr="00976BA9" w:rsidRDefault="00F21994">
      <w:pPr>
        <w:pStyle w:val="BodyText"/>
        <w:spacing w:before="10"/>
        <w:rPr>
          <w:sz w:val="18"/>
          <w:szCs w:val="22"/>
        </w:rPr>
      </w:pPr>
    </w:p>
    <w:p w14:paraId="13E6EC40" w14:textId="130C02FC" w:rsidR="00F21994" w:rsidRPr="00976BA9" w:rsidRDefault="00000000">
      <w:pPr>
        <w:pStyle w:val="BodyText"/>
        <w:ind w:left="100"/>
        <w:rPr>
          <w:sz w:val="22"/>
          <w:szCs w:val="22"/>
        </w:rPr>
      </w:pPr>
      <w:r w:rsidRPr="00976BA9">
        <w:rPr>
          <w:color w:val="2F2F2F"/>
          <w:sz w:val="22"/>
          <w:szCs w:val="22"/>
          <w:lang w:bidi="es-US"/>
        </w:rPr>
        <w:t xml:space="preserve">También puede consultar la </w:t>
      </w:r>
      <w:hyperlink r:id="rId7">
        <w:r w:rsidRPr="00976BA9">
          <w:rPr>
            <w:color w:val="0462C1"/>
            <w:sz w:val="22"/>
            <w:szCs w:val="22"/>
            <w:u w:val="single" w:color="0462C1"/>
            <w:lang w:bidi="es-US"/>
          </w:rPr>
          <w:t>Lista de avisos públicos de Hervir el Agua y No beber</w:t>
        </w:r>
        <w:r w:rsidRPr="00976BA9">
          <w:rPr>
            <w:color w:val="0462C1"/>
            <w:sz w:val="22"/>
            <w:szCs w:val="22"/>
            <w:lang w:bidi="es-US"/>
          </w:rPr>
          <w:t xml:space="preserve"> </w:t>
        </w:r>
      </w:hyperlink>
      <w:r w:rsidRPr="00976BA9">
        <w:rPr>
          <w:color w:val="2F2F2F"/>
          <w:sz w:val="22"/>
          <w:szCs w:val="22"/>
          <w:lang w:bidi="es-US"/>
        </w:rPr>
        <w:t>proporcionada por el DEC.</w:t>
      </w:r>
    </w:p>
    <w:p w14:paraId="1D01FC8A" w14:textId="3D6CA8E9" w:rsidR="00F21994" w:rsidRPr="00976BA9" w:rsidRDefault="00F21994">
      <w:pPr>
        <w:pStyle w:val="BodyText"/>
        <w:spacing w:before="9"/>
        <w:rPr>
          <w:sz w:val="18"/>
          <w:szCs w:val="22"/>
        </w:rPr>
      </w:pPr>
    </w:p>
    <w:p w14:paraId="7041F0D4" w14:textId="0C98D301" w:rsidR="00F21994" w:rsidRPr="00976BA9" w:rsidRDefault="00976BA9">
      <w:pPr>
        <w:pStyle w:val="BodyText"/>
        <w:ind w:left="1001" w:right="294"/>
        <w:rPr>
          <w:sz w:val="22"/>
          <w:szCs w:val="22"/>
        </w:rPr>
      </w:pPr>
      <w:r w:rsidRPr="00976BA9">
        <w:rPr>
          <w:noProof/>
          <w:sz w:val="22"/>
          <w:szCs w:val="22"/>
          <w:lang w:bidi="es-US"/>
        </w:rPr>
        <w:drawing>
          <wp:anchor distT="0" distB="0" distL="0" distR="0" simplePos="0" relativeHeight="251659264" behindDoc="0" locked="0" layoutInCell="1" allowOverlap="1" wp14:anchorId="63C99448" wp14:editId="31EAD62A">
            <wp:simplePos x="0" y="0"/>
            <wp:positionH relativeFrom="page">
              <wp:posOffset>709295</wp:posOffset>
            </wp:positionH>
            <wp:positionV relativeFrom="paragraph">
              <wp:posOffset>103033</wp:posOffset>
            </wp:positionV>
            <wp:extent cx="413385" cy="365125"/>
            <wp:effectExtent l="0" t="0" r="5715" b="0"/>
            <wp:wrapNone/>
            <wp:docPr id="5" name="image3.png" descr="Warning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8" cstate="print"/>
                    <a:stretch>
                      <a:fillRect/>
                    </a:stretch>
                  </pic:blipFill>
                  <pic:spPr>
                    <a:xfrm>
                      <a:off x="0" y="0"/>
                      <a:ext cx="413385" cy="365125"/>
                    </a:xfrm>
                    <a:prstGeom prst="rect">
                      <a:avLst/>
                    </a:prstGeom>
                  </pic:spPr>
                </pic:pic>
              </a:graphicData>
            </a:graphic>
          </wp:anchor>
        </w:drawing>
      </w:r>
      <w:r w:rsidR="00000000" w:rsidRPr="00976BA9">
        <w:rPr>
          <w:color w:val="2F2F2F"/>
          <w:sz w:val="22"/>
          <w:szCs w:val="22"/>
          <w:lang w:bidi="es-US"/>
        </w:rPr>
        <w:t xml:space="preserve">“Hervir el agua” le permite utilizar el agua después de hervirla, según los usos que se indican más adelante. </w:t>
      </w:r>
      <w:r>
        <w:rPr>
          <w:color w:val="2F2F2F"/>
          <w:sz w:val="22"/>
          <w:szCs w:val="22"/>
          <w:lang w:bidi="es-US"/>
        </w:rPr>
        <w:br/>
      </w:r>
      <w:r w:rsidR="00000000" w:rsidRPr="00976BA9">
        <w:rPr>
          <w:color w:val="2F2F2F"/>
          <w:sz w:val="22"/>
          <w:szCs w:val="22"/>
          <w:lang w:bidi="es-US"/>
        </w:rPr>
        <w:t>“No beber” significa que no puede utilizar el agua para los usos que se indican más adelante.</w:t>
      </w:r>
    </w:p>
    <w:p w14:paraId="2CC0E5C9" w14:textId="77777777" w:rsidR="00F21994" w:rsidRPr="00976BA9" w:rsidRDefault="00F21994">
      <w:pPr>
        <w:pStyle w:val="BodyText"/>
        <w:rPr>
          <w:sz w:val="19"/>
          <w:szCs w:val="22"/>
        </w:rPr>
      </w:pPr>
    </w:p>
    <w:p w14:paraId="7F3C11BA" w14:textId="77777777" w:rsidR="00F21994" w:rsidRPr="00976BA9" w:rsidRDefault="00000000">
      <w:pPr>
        <w:pStyle w:val="Heading1"/>
        <w:rPr>
          <w:rFonts w:ascii="Arial MT" w:hAnsi="Arial MT"/>
          <w:sz w:val="26"/>
          <w:szCs w:val="24"/>
        </w:rPr>
      </w:pPr>
      <w:r w:rsidRPr="00976BA9">
        <w:rPr>
          <w:color w:val="007940"/>
          <w:sz w:val="24"/>
          <w:szCs w:val="24"/>
          <w:lang w:bidi="es-US"/>
        </w:rPr>
        <w:t>¿Qué significa el Aviso de hervir el agua?</w:t>
      </w:r>
    </w:p>
    <w:p w14:paraId="3E81183D" w14:textId="77777777" w:rsidR="00F21994" w:rsidRPr="00976BA9" w:rsidRDefault="00000000">
      <w:pPr>
        <w:spacing w:before="240"/>
        <w:ind w:left="100"/>
        <w:rPr>
          <w:szCs w:val="20"/>
        </w:rPr>
      </w:pPr>
      <w:r w:rsidRPr="00976BA9">
        <w:rPr>
          <w:b/>
          <w:color w:val="2F2F2F"/>
          <w:szCs w:val="20"/>
          <w:lang w:bidi="es-US"/>
        </w:rPr>
        <w:t>No beba el agua sin antes hervirla.</w:t>
      </w:r>
      <w:r w:rsidRPr="00976BA9">
        <w:rPr>
          <w:color w:val="2F2F2F"/>
          <w:szCs w:val="20"/>
          <w:lang w:bidi="es-US"/>
        </w:rPr>
        <w:t xml:space="preserve"> Se puede utilizar agua hervida o embotellada para lo siguiente:</w:t>
      </w:r>
    </w:p>
    <w:p w14:paraId="798BA5D0" w14:textId="77777777" w:rsidR="00F21994" w:rsidRPr="00976BA9" w:rsidRDefault="00F21994">
      <w:pPr>
        <w:pStyle w:val="BodyText"/>
        <w:rPr>
          <w:sz w:val="10"/>
          <w:szCs w:val="22"/>
        </w:rPr>
      </w:pPr>
    </w:p>
    <w:p w14:paraId="7D650B9A" w14:textId="77777777" w:rsidR="00F21994" w:rsidRPr="00976BA9" w:rsidRDefault="00F21994">
      <w:pPr>
        <w:rPr>
          <w:sz w:val="10"/>
          <w:szCs w:val="20"/>
        </w:rPr>
        <w:sectPr w:rsidR="00F21994" w:rsidRPr="00976BA9">
          <w:headerReference w:type="default" r:id="rId9"/>
          <w:footerReference w:type="default" r:id="rId10"/>
          <w:type w:val="continuous"/>
          <w:pgSz w:w="12240" w:h="15840"/>
          <w:pgMar w:top="1560" w:right="1000" w:bottom="1220" w:left="980" w:header="720" w:footer="1036" w:gutter="0"/>
          <w:pgNumType w:start="1"/>
          <w:cols w:space="720"/>
        </w:sectPr>
      </w:pPr>
    </w:p>
    <w:p w14:paraId="287B1AA4" w14:textId="77777777" w:rsidR="00F21994" w:rsidRPr="00976BA9" w:rsidRDefault="00000000">
      <w:pPr>
        <w:pStyle w:val="ListParagraph"/>
        <w:numPr>
          <w:ilvl w:val="0"/>
          <w:numId w:val="1"/>
        </w:numPr>
        <w:tabs>
          <w:tab w:val="left" w:pos="820"/>
          <w:tab w:val="left" w:pos="821"/>
        </w:tabs>
        <w:spacing w:before="100"/>
        <w:rPr>
          <w:szCs w:val="20"/>
        </w:rPr>
      </w:pPr>
      <w:r w:rsidRPr="00976BA9">
        <w:rPr>
          <w:color w:val="2F2F2F"/>
          <w:szCs w:val="20"/>
          <w:lang w:bidi="es-US"/>
        </w:rPr>
        <w:t>beber</w:t>
      </w:r>
    </w:p>
    <w:p w14:paraId="15B9DD9F" w14:textId="77777777" w:rsidR="00F21994" w:rsidRPr="00976BA9" w:rsidRDefault="00000000">
      <w:pPr>
        <w:pStyle w:val="ListParagraph"/>
        <w:numPr>
          <w:ilvl w:val="0"/>
          <w:numId w:val="1"/>
        </w:numPr>
        <w:tabs>
          <w:tab w:val="left" w:pos="820"/>
          <w:tab w:val="left" w:pos="821"/>
        </w:tabs>
        <w:rPr>
          <w:szCs w:val="20"/>
        </w:rPr>
      </w:pPr>
      <w:r w:rsidRPr="00976BA9">
        <w:rPr>
          <w:color w:val="2F2F2F"/>
          <w:szCs w:val="20"/>
          <w:lang w:bidi="es-US"/>
        </w:rPr>
        <w:t>cocinar y preparar alimentos</w:t>
      </w:r>
    </w:p>
    <w:p w14:paraId="1677E0A6" w14:textId="77777777" w:rsidR="00F21994" w:rsidRPr="00976BA9" w:rsidRDefault="00000000">
      <w:pPr>
        <w:pStyle w:val="ListParagraph"/>
        <w:numPr>
          <w:ilvl w:val="0"/>
          <w:numId w:val="1"/>
        </w:numPr>
        <w:tabs>
          <w:tab w:val="left" w:pos="820"/>
          <w:tab w:val="left" w:pos="821"/>
        </w:tabs>
        <w:spacing w:before="1"/>
        <w:rPr>
          <w:szCs w:val="20"/>
        </w:rPr>
      </w:pPr>
      <w:r w:rsidRPr="00976BA9">
        <w:rPr>
          <w:color w:val="2F2F2F"/>
          <w:szCs w:val="20"/>
          <w:lang w:bidi="es-US"/>
        </w:rPr>
        <w:t>hacer jugo o hielo</w:t>
      </w:r>
    </w:p>
    <w:p w14:paraId="0FF20983" w14:textId="77777777" w:rsidR="00F21994" w:rsidRPr="00976BA9" w:rsidRDefault="00000000">
      <w:pPr>
        <w:pStyle w:val="ListParagraph"/>
        <w:numPr>
          <w:ilvl w:val="0"/>
          <w:numId w:val="1"/>
        </w:numPr>
        <w:tabs>
          <w:tab w:val="left" w:pos="820"/>
          <w:tab w:val="left" w:pos="821"/>
        </w:tabs>
        <w:rPr>
          <w:szCs w:val="20"/>
        </w:rPr>
      </w:pPr>
      <w:r w:rsidRPr="00976BA9">
        <w:rPr>
          <w:color w:val="2F2F2F"/>
          <w:szCs w:val="20"/>
          <w:lang w:bidi="es-US"/>
        </w:rPr>
        <w:t>cepillarse los dientes</w:t>
      </w:r>
    </w:p>
    <w:p w14:paraId="5363ABD3" w14:textId="77777777" w:rsidR="00F21994" w:rsidRPr="00976BA9" w:rsidRDefault="00000000">
      <w:pPr>
        <w:pStyle w:val="ListParagraph"/>
        <w:numPr>
          <w:ilvl w:val="0"/>
          <w:numId w:val="1"/>
        </w:numPr>
        <w:tabs>
          <w:tab w:val="left" w:pos="820"/>
          <w:tab w:val="left" w:pos="821"/>
        </w:tabs>
        <w:spacing w:before="100"/>
        <w:ind w:left="820"/>
        <w:rPr>
          <w:szCs w:val="20"/>
        </w:rPr>
      </w:pPr>
      <w:r w:rsidRPr="00976BA9">
        <w:rPr>
          <w:color w:val="2F2F2F"/>
          <w:szCs w:val="20"/>
          <w:lang w:bidi="es-US"/>
        </w:rPr>
        <w:br w:type="column"/>
      </w:r>
      <w:r w:rsidRPr="00976BA9">
        <w:rPr>
          <w:color w:val="2F2F2F"/>
          <w:szCs w:val="20"/>
          <w:lang w:bidi="es-US"/>
        </w:rPr>
        <w:t>lavar los platos</w:t>
      </w:r>
    </w:p>
    <w:p w14:paraId="31C39133" w14:textId="77777777" w:rsidR="00F21994" w:rsidRPr="00976BA9" w:rsidRDefault="00000000">
      <w:pPr>
        <w:pStyle w:val="ListParagraph"/>
        <w:numPr>
          <w:ilvl w:val="0"/>
          <w:numId w:val="1"/>
        </w:numPr>
        <w:tabs>
          <w:tab w:val="left" w:pos="820"/>
          <w:tab w:val="left" w:pos="821"/>
        </w:tabs>
        <w:ind w:left="820"/>
        <w:rPr>
          <w:szCs w:val="20"/>
        </w:rPr>
      </w:pPr>
      <w:r w:rsidRPr="00976BA9">
        <w:rPr>
          <w:color w:val="2F2F2F"/>
          <w:szCs w:val="20"/>
          <w:lang w:bidi="es-US"/>
        </w:rPr>
        <w:t>preparar biberones/fórmula para bebé</w:t>
      </w:r>
    </w:p>
    <w:p w14:paraId="36A6194F" w14:textId="77777777" w:rsidR="00F21994" w:rsidRPr="00976BA9" w:rsidRDefault="00000000">
      <w:pPr>
        <w:pStyle w:val="ListParagraph"/>
        <w:numPr>
          <w:ilvl w:val="0"/>
          <w:numId w:val="1"/>
        </w:numPr>
        <w:tabs>
          <w:tab w:val="left" w:pos="820"/>
          <w:tab w:val="left" w:pos="821"/>
        </w:tabs>
        <w:spacing w:before="1" w:line="240" w:lineRule="auto"/>
        <w:ind w:left="820"/>
        <w:rPr>
          <w:szCs w:val="20"/>
        </w:rPr>
      </w:pPr>
      <w:r w:rsidRPr="00976BA9">
        <w:rPr>
          <w:color w:val="2F2F2F"/>
          <w:szCs w:val="20"/>
          <w:lang w:bidi="es-US"/>
        </w:rPr>
        <w:t>lavar frutas y verduras</w:t>
      </w:r>
    </w:p>
    <w:p w14:paraId="1D25C5FE" w14:textId="77777777" w:rsidR="00F21994" w:rsidRPr="00976BA9" w:rsidRDefault="00F21994">
      <w:pPr>
        <w:rPr>
          <w:szCs w:val="20"/>
        </w:rPr>
        <w:sectPr w:rsidR="00F21994" w:rsidRPr="00976BA9">
          <w:type w:val="continuous"/>
          <w:pgSz w:w="12240" w:h="15840"/>
          <w:pgMar w:top="1560" w:right="1000" w:bottom="1220" w:left="980" w:header="720" w:footer="720" w:gutter="0"/>
          <w:cols w:num="2" w:space="720" w:equalWidth="0">
            <w:col w:w="3973" w:space="1430"/>
            <w:col w:w="4857"/>
          </w:cols>
        </w:sectPr>
      </w:pPr>
    </w:p>
    <w:p w14:paraId="4D295007" w14:textId="77777777" w:rsidR="00F21994" w:rsidRPr="00976BA9" w:rsidRDefault="00F21994">
      <w:pPr>
        <w:pStyle w:val="BodyText"/>
        <w:rPr>
          <w:sz w:val="18"/>
          <w:szCs w:val="22"/>
        </w:rPr>
      </w:pPr>
    </w:p>
    <w:p w14:paraId="44F00392" w14:textId="77777777" w:rsidR="00F21994" w:rsidRPr="00976BA9" w:rsidRDefault="00F21994">
      <w:pPr>
        <w:pStyle w:val="BodyText"/>
        <w:rPr>
          <w:sz w:val="15"/>
          <w:szCs w:val="22"/>
        </w:rPr>
      </w:pPr>
    </w:p>
    <w:p w14:paraId="46C5C883" w14:textId="77777777" w:rsidR="00F21994" w:rsidRPr="00976BA9" w:rsidRDefault="00000000">
      <w:pPr>
        <w:pStyle w:val="BodyText"/>
        <w:spacing w:before="92"/>
        <w:ind w:left="100" w:right="294"/>
        <w:rPr>
          <w:sz w:val="22"/>
          <w:szCs w:val="22"/>
        </w:rPr>
      </w:pPr>
      <w:r w:rsidRPr="00976BA9">
        <w:rPr>
          <w:color w:val="2F2F2F"/>
          <w:sz w:val="22"/>
          <w:szCs w:val="22"/>
          <w:lang w:bidi="es-US"/>
        </w:rPr>
        <w:t>Lleve toda el agua a ebullición, déjela hervir durante un minuto y déjela enfriar antes de usarla, o utilice agua embotellada. La ebullición mata las bacterias y otros organismos del agua.</w:t>
      </w:r>
    </w:p>
    <w:p w14:paraId="2CAA2694" w14:textId="77777777" w:rsidR="00F21994" w:rsidRPr="00976BA9" w:rsidRDefault="00F21994">
      <w:pPr>
        <w:pStyle w:val="BodyText"/>
        <w:spacing w:before="8"/>
        <w:rPr>
          <w:sz w:val="18"/>
          <w:szCs w:val="22"/>
        </w:rPr>
      </w:pPr>
    </w:p>
    <w:p w14:paraId="1696BF34" w14:textId="77777777" w:rsidR="00F21994" w:rsidRPr="00976BA9" w:rsidRDefault="00000000">
      <w:pPr>
        <w:pStyle w:val="BodyText"/>
        <w:spacing w:before="1"/>
        <w:ind w:left="100"/>
        <w:rPr>
          <w:sz w:val="22"/>
          <w:szCs w:val="22"/>
        </w:rPr>
      </w:pPr>
      <w:r w:rsidRPr="00976BA9">
        <w:rPr>
          <w:color w:val="2F2F2F"/>
          <w:sz w:val="22"/>
          <w:szCs w:val="22"/>
          <w:lang w:bidi="es-US"/>
        </w:rPr>
        <w:t>Puede utilizar agua no hervida para la descarga de inodoros, ducharse y lavarse las manos.</w:t>
      </w:r>
    </w:p>
    <w:p w14:paraId="3031F3A6" w14:textId="77777777" w:rsidR="00F21994" w:rsidRPr="00976BA9" w:rsidRDefault="00F21994">
      <w:pPr>
        <w:pStyle w:val="BodyText"/>
        <w:spacing w:before="8"/>
        <w:rPr>
          <w:sz w:val="18"/>
          <w:szCs w:val="22"/>
        </w:rPr>
      </w:pPr>
    </w:p>
    <w:p w14:paraId="075D0545" w14:textId="77777777" w:rsidR="00F21994" w:rsidRPr="00976BA9" w:rsidRDefault="00000000">
      <w:pPr>
        <w:pStyle w:val="BodyText"/>
        <w:spacing w:before="1" w:line="242" w:lineRule="auto"/>
        <w:ind w:left="100" w:right="155"/>
        <w:rPr>
          <w:sz w:val="22"/>
          <w:szCs w:val="22"/>
        </w:rPr>
      </w:pPr>
      <w:r w:rsidRPr="00976BA9">
        <w:rPr>
          <w:color w:val="2F2F2F"/>
          <w:sz w:val="22"/>
          <w:szCs w:val="22"/>
          <w:lang w:bidi="es-US"/>
        </w:rPr>
        <w:t>Las personas inmunocomprometidas, los bebés y algunos adultos mayores pueden correr un mayor riesgo. Dichas personas deben consultar a sus médicos sobre el consumo de agua.</w:t>
      </w:r>
    </w:p>
    <w:p w14:paraId="169FD301" w14:textId="77777777" w:rsidR="00F21994" w:rsidRPr="00976BA9" w:rsidRDefault="00F21994">
      <w:pPr>
        <w:pStyle w:val="BodyText"/>
        <w:spacing w:before="6"/>
        <w:rPr>
          <w:sz w:val="18"/>
          <w:szCs w:val="22"/>
        </w:rPr>
      </w:pPr>
    </w:p>
    <w:p w14:paraId="0C6E83EA" w14:textId="77777777" w:rsidR="00F21994" w:rsidRPr="00976BA9" w:rsidRDefault="00000000">
      <w:pPr>
        <w:pStyle w:val="Heading1"/>
        <w:rPr>
          <w:rFonts w:ascii="Arial MT" w:hAnsi="Arial MT"/>
          <w:sz w:val="26"/>
          <w:szCs w:val="24"/>
        </w:rPr>
      </w:pPr>
      <w:r w:rsidRPr="00976BA9">
        <w:rPr>
          <w:color w:val="007940"/>
          <w:sz w:val="24"/>
          <w:szCs w:val="24"/>
          <w:lang w:bidi="es-US"/>
        </w:rPr>
        <w:t>¿Qué significa un aviso de No beber?</w:t>
      </w:r>
    </w:p>
    <w:p w14:paraId="06C7647B" w14:textId="77777777" w:rsidR="00F21994" w:rsidRPr="00976BA9" w:rsidRDefault="00000000">
      <w:pPr>
        <w:spacing w:before="236"/>
        <w:ind w:left="100"/>
        <w:rPr>
          <w:szCs w:val="20"/>
        </w:rPr>
      </w:pPr>
      <w:r w:rsidRPr="00976BA9">
        <w:rPr>
          <w:b/>
          <w:color w:val="2F2F2F"/>
          <w:szCs w:val="20"/>
          <w:lang w:bidi="es-US"/>
        </w:rPr>
        <w:t>No beba el agua, no hierva el agua</w:t>
      </w:r>
      <w:r w:rsidRPr="00976BA9">
        <w:rPr>
          <w:color w:val="2F2F2F"/>
          <w:szCs w:val="20"/>
          <w:lang w:bidi="es-US"/>
        </w:rPr>
        <w:t>. El agua embotellada puede utilizarse para lo siguiente:</w:t>
      </w:r>
    </w:p>
    <w:p w14:paraId="2A666634" w14:textId="77777777" w:rsidR="00F21994" w:rsidRPr="00976BA9" w:rsidRDefault="00F21994">
      <w:pPr>
        <w:pStyle w:val="BodyText"/>
        <w:rPr>
          <w:sz w:val="10"/>
          <w:szCs w:val="22"/>
        </w:rPr>
      </w:pPr>
    </w:p>
    <w:p w14:paraId="356B901D" w14:textId="77777777" w:rsidR="00F21994" w:rsidRPr="00976BA9" w:rsidRDefault="00F21994">
      <w:pPr>
        <w:rPr>
          <w:sz w:val="10"/>
          <w:szCs w:val="20"/>
        </w:rPr>
        <w:sectPr w:rsidR="00F21994" w:rsidRPr="00976BA9">
          <w:type w:val="continuous"/>
          <w:pgSz w:w="12240" w:h="15840"/>
          <w:pgMar w:top="1560" w:right="1000" w:bottom="1220" w:left="980" w:header="720" w:footer="720" w:gutter="0"/>
          <w:cols w:space="720"/>
        </w:sectPr>
      </w:pPr>
    </w:p>
    <w:p w14:paraId="7A847D5A" w14:textId="77777777" w:rsidR="00F21994" w:rsidRPr="00976BA9" w:rsidRDefault="00000000">
      <w:pPr>
        <w:pStyle w:val="ListParagraph"/>
        <w:numPr>
          <w:ilvl w:val="0"/>
          <w:numId w:val="1"/>
        </w:numPr>
        <w:tabs>
          <w:tab w:val="left" w:pos="820"/>
          <w:tab w:val="left" w:pos="821"/>
        </w:tabs>
        <w:spacing w:before="100" w:line="240" w:lineRule="auto"/>
        <w:rPr>
          <w:szCs w:val="20"/>
        </w:rPr>
      </w:pPr>
      <w:r w:rsidRPr="00976BA9">
        <w:rPr>
          <w:color w:val="2F2F2F"/>
          <w:szCs w:val="20"/>
          <w:lang w:bidi="es-US"/>
        </w:rPr>
        <w:t>beber</w:t>
      </w:r>
    </w:p>
    <w:p w14:paraId="47C9D736" w14:textId="77777777" w:rsidR="00F21994" w:rsidRPr="00976BA9" w:rsidRDefault="00000000">
      <w:pPr>
        <w:pStyle w:val="ListParagraph"/>
        <w:numPr>
          <w:ilvl w:val="0"/>
          <w:numId w:val="1"/>
        </w:numPr>
        <w:tabs>
          <w:tab w:val="left" w:pos="820"/>
          <w:tab w:val="left" w:pos="821"/>
        </w:tabs>
        <w:spacing w:before="1"/>
        <w:rPr>
          <w:szCs w:val="20"/>
        </w:rPr>
      </w:pPr>
      <w:r w:rsidRPr="00976BA9">
        <w:rPr>
          <w:color w:val="2F2F2F"/>
          <w:szCs w:val="20"/>
          <w:lang w:bidi="es-US"/>
        </w:rPr>
        <w:t>cocinar y preparar alimentos</w:t>
      </w:r>
    </w:p>
    <w:p w14:paraId="255213A7" w14:textId="77777777" w:rsidR="00F21994" w:rsidRPr="00976BA9" w:rsidRDefault="00000000">
      <w:pPr>
        <w:pStyle w:val="ListParagraph"/>
        <w:numPr>
          <w:ilvl w:val="0"/>
          <w:numId w:val="1"/>
        </w:numPr>
        <w:tabs>
          <w:tab w:val="left" w:pos="820"/>
          <w:tab w:val="left" w:pos="821"/>
        </w:tabs>
        <w:rPr>
          <w:szCs w:val="20"/>
        </w:rPr>
      </w:pPr>
      <w:r w:rsidRPr="00976BA9">
        <w:rPr>
          <w:color w:val="2F2F2F"/>
          <w:szCs w:val="20"/>
          <w:lang w:bidi="es-US"/>
        </w:rPr>
        <w:t>hacer jugo o hielo</w:t>
      </w:r>
    </w:p>
    <w:p w14:paraId="58C8A9C2" w14:textId="77777777" w:rsidR="00F21994" w:rsidRPr="00976BA9" w:rsidRDefault="00000000">
      <w:pPr>
        <w:pStyle w:val="ListParagraph"/>
        <w:numPr>
          <w:ilvl w:val="0"/>
          <w:numId w:val="1"/>
        </w:numPr>
        <w:tabs>
          <w:tab w:val="left" w:pos="820"/>
          <w:tab w:val="left" w:pos="821"/>
        </w:tabs>
        <w:spacing w:before="1" w:line="240" w:lineRule="auto"/>
        <w:rPr>
          <w:szCs w:val="20"/>
        </w:rPr>
      </w:pPr>
      <w:r w:rsidRPr="00976BA9">
        <w:rPr>
          <w:color w:val="2F2F2F"/>
          <w:szCs w:val="20"/>
          <w:lang w:bidi="es-US"/>
        </w:rPr>
        <w:t>cepillarse los dientes</w:t>
      </w:r>
    </w:p>
    <w:p w14:paraId="25256B3E" w14:textId="77777777" w:rsidR="00F21994" w:rsidRPr="00976BA9" w:rsidRDefault="00000000">
      <w:pPr>
        <w:pStyle w:val="ListParagraph"/>
        <w:numPr>
          <w:ilvl w:val="0"/>
          <w:numId w:val="1"/>
        </w:numPr>
        <w:tabs>
          <w:tab w:val="left" w:pos="820"/>
          <w:tab w:val="left" w:pos="821"/>
        </w:tabs>
        <w:spacing w:before="100" w:line="240" w:lineRule="auto"/>
        <w:ind w:left="820"/>
        <w:rPr>
          <w:szCs w:val="20"/>
        </w:rPr>
      </w:pPr>
      <w:r w:rsidRPr="00976BA9">
        <w:rPr>
          <w:color w:val="2F2F2F"/>
          <w:szCs w:val="20"/>
          <w:lang w:bidi="es-US"/>
        </w:rPr>
        <w:br w:type="column"/>
      </w:r>
      <w:r w:rsidRPr="00976BA9">
        <w:rPr>
          <w:color w:val="2F2F2F"/>
          <w:szCs w:val="20"/>
          <w:lang w:bidi="es-US"/>
        </w:rPr>
        <w:t>lavar los platos</w:t>
      </w:r>
    </w:p>
    <w:p w14:paraId="278FF55A" w14:textId="77777777" w:rsidR="00F21994" w:rsidRPr="00976BA9" w:rsidRDefault="00000000">
      <w:pPr>
        <w:pStyle w:val="ListParagraph"/>
        <w:numPr>
          <w:ilvl w:val="0"/>
          <w:numId w:val="1"/>
        </w:numPr>
        <w:tabs>
          <w:tab w:val="left" w:pos="820"/>
          <w:tab w:val="left" w:pos="821"/>
        </w:tabs>
        <w:spacing w:before="1"/>
        <w:ind w:left="820"/>
        <w:rPr>
          <w:szCs w:val="20"/>
        </w:rPr>
      </w:pPr>
      <w:r w:rsidRPr="00976BA9">
        <w:rPr>
          <w:color w:val="2F2F2F"/>
          <w:szCs w:val="20"/>
          <w:lang w:bidi="es-US"/>
        </w:rPr>
        <w:t>preparar biberones/fórmula para bebé</w:t>
      </w:r>
    </w:p>
    <w:p w14:paraId="58C450A4" w14:textId="77777777" w:rsidR="00F21994" w:rsidRPr="00976BA9" w:rsidRDefault="00000000">
      <w:pPr>
        <w:pStyle w:val="ListParagraph"/>
        <w:numPr>
          <w:ilvl w:val="0"/>
          <w:numId w:val="1"/>
        </w:numPr>
        <w:tabs>
          <w:tab w:val="left" w:pos="820"/>
          <w:tab w:val="left" w:pos="821"/>
        </w:tabs>
        <w:ind w:left="820"/>
        <w:rPr>
          <w:szCs w:val="20"/>
        </w:rPr>
      </w:pPr>
      <w:r w:rsidRPr="00976BA9">
        <w:rPr>
          <w:color w:val="2F2F2F"/>
          <w:szCs w:val="20"/>
          <w:lang w:bidi="es-US"/>
        </w:rPr>
        <w:t>lavar frutas y verduras</w:t>
      </w:r>
    </w:p>
    <w:p w14:paraId="7E568056" w14:textId="77777777" w:rsidR="00F21994" w:rsidRPr="00976BA9" w:rsidRDefault="00F21994">
      <w:pPr>
        <w:spacing w:line="292" w:lineRule="exact"/>
        <w:rPr>
          <w:szCs w:val="20"/>
        </w:rPr>
        <w:sectPr w:rsidR="00F21994" w:rsidRPr="00976BA9">
          <w:type w:val="continuous"/>
          <w:pgSz w:w="12240" w:h="15840"/>
          <w:pgMar w:top="1560" w:right="1000" w:bottom="1220" w:left="980" w:header="720" w:footer="720" w:gutter="0"/>
          <w:cols w:num="2" w:space="720" w:equalWidth="0">
            <w:col w:w="3973" w:space="1430"/>
            <w:col w:w="4857"/>
          </w:cols>
        </w:sectPr>
      </w:pPr>
    </w:p>
    <w:p w14:paraId="57865E80" w14:textId="77777777" w:rsidR="00F21994" w:rsidRPr="00976BA9" w:rsidRDefault="00F21994">
      <w:pPr>
        <w:pStyle w:val="BodyText"/>
        <w:rPr>
          <w:sz w:val="18"/>
          <w:szCs w:val="22"/>
        </w:rPr>
      </w:pPr>
    </w:p>
    <w:p w14:paraId="58E426B2" w14:textId="77777777" w:rsidR="00F21994" w:rsidRPr="00976BA9" w:rsidRDefault="00F21994">
      <w:pPr>
        <w:pStyle w:val="BodyText"/>
        <w:spacing w:before="7"/>
        <w:rPr>
          <w:sz w:val="14"/>
          <w:szCs w:val="22"/>
        </w:rPr>
      </w:pPr>
    </w:p>
    <w:p w14:paraId="43AD5E78" w14:textId="77777777" w:rsidR="00F21994" w:rsidRPr="00976BA9" w:rsidRDefault="00000000">
      <w:pPr>
        <w:pStyle w:val="BodyText"/>
        <w:spacing w:before="92" w:line="242" w:lineRule="auto"/>
        <w:ind w:left="100" w:right="401"/>
        <w:rPr>
          <w:sz w:val="22"/>
          <w:szCs w:val="22"/>
        </w:rPr>
      </w:pPr>
      <w:r w:rsidRPr="00976BA9">
        <w:rPr>
          <w:color w:val="2F2F2F"/>
          <w:sz w:val="22"/>
          <w:szCs w:val="22"/>
          <w:lang w:bidi="es-US"/>
        </w:rPr>
        <w:t>Utilice agua de una fuente alternativa de calidad apropiada o agua embotellada. No hierva el agua. Una ebullición excesiva puede hacer que determinados contaminantes se concentren aún más.</w:t>
      </w:r>
    </w:p>
    <w:p w14:paraId="6D0DF955" w14:textId="77777777" w:rsidR="00F21994" w:rsidRPr="00976BA9" w:rsidRDefault="00F21994">
      <w:pPr>
        <w:spacing w:line="242" w:lineRule="auto"/>
        <w:rPr>
          <w:sz w:val="20"/>
          <w:szCs w:val="20"/>
        </w:rPr>
        <w:sectPr w:rsidR="00F21994" w:rsidRPr="00976BA9">
          <w:type w:val="continuous"/>
          <w:pgSz w:w="12240" w:h="15840"/>
          <w:pgMar w:top="1560" w:right="1000" w:bottom="1220" w:left="980" w:header="720" w:footer="720" w:gutter="0"/>
          <w:cols w:space="720"/>
        </w:sectPr>
      </w:pPr>
    </w:p>
    <w:p w14:paraId="4C23269E" w14:textId="77777777" w:rsidR="00F21994" w:rsidRPr="00976BA9" w:rsidRDefault="00F21994">
      <w:pPr>
        <w:pStyle w:val="BodyText"/>
        <w:rPr>
          <w:sz w:val="14"/>
          <w:szCs w:val="22"/>
        </w:rPr>
      </w:pPr>
    </w:p>
    <w:p w14:paraId="7B8D553C" w14:textId="77777777" w:rsidR="00F21994" w:rsidRPr="00976BA9" w:rsidRDefault="00000000">
      <w:pPr>
        <w:pStyle w:val="BodyText"/>
        <w:spacing w:before="92"/>
        <w:ind w:left="100"/>
        <w:rPr>
          <w:sz w:val="22"/>
          <w:szCs w:val="22"/>
        </w:rPr>
      </w:pPr>
      <w:r w:rsidRPr="00976BA9">
        <w:rPr>
          <w:color w:val="2F2F2F"/>
          <w:sz w:val="22"/>
          <w:szCs w:val="22"/>
          <w:lang w:bidi="es-US"/>
        </w:rPr>
        <w:t>Puede utilizar agua para la descarga de inodoros, ducharse y lavarse las manos.</w:t>
      </w:r>
    </w:p>
    <w:p w14:paraId="780BD6D4" w14:textId="77777777" w:rsidR="00F21994" w:rsidRPr="00976BA9" w:rsidRDefault="00F21994">
      <w:pPr>
        <w:pStyle w:val="BodyText"/>
        <w:spacing w:before="9"/>
        <w:rPr>
          <w:sz w:val="18"/>
          <w:szCs w:val="22"/>
        </w:rPr>
      </w:pPr>
    </w:p>
    <w:p w14:paraId="793D82EA" w14:textId="77777777" w:rsidR="00F21994" w:rsidRPr="00976BA9" w:rsidRDefault="00000000">
      <w:pPr>
        <w:pStyle w:val="BodyText"/>
        <w:spacing w:before="1"/>
        <w:ind w:left="100" w:right="159"/>
        <w:rPr>
          <w:sz w:val="22"/>
          <w:szCs w:val="22"/>
        </w:rPr>
      </w:pPr>
      <w:r w:rsidRPr="00976BA9">
        <w:rPr>
          <w:color w:val="2F2F2F"/>
          <w:sz w:val="22"/>
          <w:szCs w:val="22"/>
          <w:lang w:bidi="es-US"/>
        </w:rPr>
        <w:t>Las personas inmunocomprometidas, los bebés y algunos adultos mayores pueden correr un mayor riesgo. Dichas personas deben consultar a sus médicos sobre el consumo de agua.</w:t>
      </w:r>
    </w:p>
    <w:p w14:paraId="47D44D9C" w14:textId="77777777" w:rsidR="00F21994" w:rsidRPr="00976BA9" w:rsidRDefault="00F21994">
      <w:pPr>
        <w:pStyle w:val="BodyText"/>
        <w:spacing w:before="8"/>
        <w:rPr>
          <w:sz w:val="18"/>
          <w:szCs w:val="22"/>
        </w:rPr>
      </w:pPr>
    </w:p>
    <w:p w14:paraId="36B2243A" w14:textId="77777777" w:rsidR="00F21994" w:rsidRPr="00976BA9" w:rsidRDefault="00000000">
      <w:pPr>
        <w:ind w:left="100"/>
        <w:rPr>
          <w:b/>
          <w:sz w:val="16"/>
          <w:szCs w:val="20"/>
        </w:rPr>
      </w:pPr>
      <w:r w:rsidRPr="00976BA9">
        <w:rPr>
          <w:b/>
          <w:color w:val="2F2F2F"/>
          <w:sz w:val="16"/>
          <w:szCs w:val="20"/>
          <w:lang w:bidi="es-US"/>
        </w:rPr>
        <w:t>Aviso de no discriminación:</w:t>
      </w:r>
    </w:p>
    <w:p w14:paraId="6B2494A4" w14:textId="77777777" w:rsidR="00F21994" w:rsidRPr="00976BA9" w:rsidRDefault="00000000">
      <w:pPr>
        <w:spacing w:before="3"/>
        <w:ind w:left="100" w:right="157"/>
        <w:rPr>
          <w:sz w:val="16"/>
          <w:szCs w:val="20"/>
        </w:rPr>
      </w:pPr>
      <w:r w:rsidRPr="00976BA9">
        <w:rPr>
          <w:color w:val="2F2F2F"/>
          <w:sz w:val="16"/>
          <w:szCs w:val="20"/>
          <w:lang w:bidi="es-US"/>
        </w:rPr>
        <w:t>La Agencia de Recursos Naturales (ANR) de Vermont opera sus programas, servicios y actividades sin discriminar por motivos de raza, religión, credo, color, origen nacional (incluido el dominio limitado del inglés), ascendencia, lugar de nacimiento, discapacidad, edad, estado civil, sexo, orientación sexual, identidad de género o lactancia (madre e hijo).</w:t>
      </w:r>
    </w:p>
    <w:p w14:paraId="75675408" w14:textId="77777777" w:rsidR="00F21994" w:rsidRPr="00976BA9" w:rsidRDefault="00F21994">
      <w:pPr>
        <w:pStyle w:val="BodyText"/>
        <w:spacing w:before="9"/>
        <w:rPr>
          <w:sz w:val="15"/>
          <w:szCs w:val="22"/>
        </w:rPr>
      </w:pPr>
    </w:p>
    <w:p w14:paraId="180FABDF" w14:textId="77777777" w:rsidR="00F21994" w:rsidRPr="00976BA9" w:rsidRDefault="00000000">
      <w:pPr>
        <w:ind w:left="100"/>
        <w:rPr>
          <w:b/>
          <w:sz w:val="16"/>
          <w:szCs w:val="20"/>
        </w:rPr>
      </w:pPr>
      <w:r w:rsidRPr="00976BA9">
        <w:rPr>
          <w:b/>
          <w:color w:val="2F2F2F"/>
          <w:sz w:val="16"/>
          <w:szCs w:val="20"/>
          <w:lang w:bidi="es-US"/>
        </w:rPr>
        <w:t>Aviso de acceso servicios lingüísticos:</w:t>
      </w:r>
    </w:p>
    <w:p w14:paraId="512D1A9F" w14:textId="0BFA9B9D" w:rsidR="00F21994" w:rsidRPr="00976BA9" w:rsidRDefault="00976BA9" w:rsidP="0052595F">
      <w:pPr>
        <w:spacing w:before="3" w:line="268" w:lineRule="auto"/>
        <w:ind w:left="100"/>
        <w:rPr>
          <w:sz w:val="16"/>
          <w:szCs w:val="16"/>
        </w:rPr>
        <w:sectPr w:rsidR="00F21994" w:rsidRPr="00976BA9">
          <w:pgSz w:w="12240" w:h="15840"/>
          <w:pgMar w:top="1560" w:right="1000" w:bottom="1220" w:left="980" w:header="720" w:footer="1036" w:gutter="0"/>
          <w:cols w:space="720"/>
        </w:sectPr>
      </w:pPr>
      <w:r w:rsidRPr="00976BA9">
        <w:rPr>
          <w:noProof/>
          <w:sz w:val="20"/>
          <w:szCs w:val="20"/>
        </w:rPr>
        <w:drawing>
          <wp:inline distT="0" distB="0" distL="0" distR="0" wp14:anchorId="28308D1C" wp14:editId="69A2320D">
            <wp:extent cx="6070600" cy="1234440"/>
            <wp:effectExtent l="0" t="0" r="6350" b="3810"/>
            <wp:docPr id="1780349629" name="Picture 1" descr="A close up of a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0349629" name="Picture 1" descr="A close up of a text&#10;&#10;Description automatically generated"/>
                    <pic:cNvPicPr>
                      <a:picLocks noChangeAspect="1"/>
                    </pic:cNvPicPr>
                  </pic:nvPicPr>
                  <pic:blipFill>
                    <a:blip r:embed="rId11"/>
                    <a:stretch>
                      <a:fillRect/>
                    </a:stretch>
                  </pic:blipFill>
                  <pic:spPr>
                    <a:xfrm>
                      <a:off x="0" y="0"/>
                      <a:ext cx="6070600" cy="1234440"/>
                    </a:xfrm>
                    <a:prstGeom prst="rect">
                      <a:avLst/>
                    </a:prstGeom>
                  </pic:spPr>
                </pic:pic>
              </a:graphicData>
            </a:graphic>
          </wp:inline>
        </w:drawing>
      </w:r>
    </w:p>
    <w:p w14:paraId="36A14464" w14:textId="225D731C" w:rsidR="00F21994" w:rsidRPr="00976BA9" w:rsidRDefault="00F21994" w:rsidP="0052595F">
      <w:pPr>
        <w:spacing w:before="3"/>
        <w:ind w:left="69"/>
        <w:rPr>
          <w:sz w:val="16"/>
          <w:szCs w:val="16"/>
        </w:rPr>
      </w:pPr>
    </w:p>
    <w:sectPr w:rsidR="00F21994" w:rsidRPr="00976BA9">
      <w:type w:val="continuous"/>
      <w:pgSz w:w="12240" w:h="15840"/>
      <w:pgMar w:top="1560" w:right="1000" w:bottom="1220" w:left="980" w:header="720" w:footer="720" w:gutter="0"/>
      <w:cols w:num="3" w:space="720" w:equalWidth="0">
        <w:col w:w="6523" w:space="40"/>
        <w:col w:w="440" w:space="39"/>
        <w:col w:w="3218"/>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CCE28" w14:textId="77777777" w:rsidR="00624F3C" w:rsidRDefault="00624F3C">
      <w:r>
        <w:separator/>
      </w:r>
    </w:p>
  </w:endnote>
  <w:endnote w:type="continuationSeparator" w:id="0">
    <w:p w14:paraId="4FC78480" w14:textId="77777777" w:rsidR="00624F3C" w:rsidRDefault="00624F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18855" w14:textId="77777777" w:rsidR="00F21994" w:rsidRDefault="00000000">
    <w:pPr>
      <w:pStyle w:val="BodyText"/>
      <w:spacing w:line="14" w:lineRule="auto"/>
      <w:rPr>
        <w:sz w:val="20"/>
      </w:rPr>
    </w:pPr>
    <w:r>
      <w:rPr>
        <w:noProof/>
        <w:lang w:bidi="es-US"/>
      </w:rPr>
      <w:drawing>
        <wp:anchor distT="0" distB="0" distL="0" distR="0" simplePos="0" relativeHeight="251659264" behindDoc="1" locked="0" layoutInCell="1" allowOverlap="1" wp14:anchorId="09E19B7F" wp14:editId="2F171CF9">
          <wp:simplePos x="0" y="0"/>
          <wp:positionH relativeFrom="page">
            <wp:posOffset>5212079</wp:posOffset>
          </wp:positionH>
          <wp:positionV relativeFrom="page">
            <wp:posOffset>9273565</wp:posOffset>
          </wp:positionV>
          <wp:extent cx="2155189" cy="4572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2155189" cy="457200"/>
                  </a:xfrm>
                  <a:prstGeom prst="rect">
                    <a:avLst/>
                  </a:prstGeom>
                </pic:spPr>
              </pic:pic>
            </a:graphicData>
          </a:graphic>
        </wp:anchor>
      </w:drawing>
    </w:r>
    <w:r>
      <w:rPr>
        <w:noProof/>
        <w:lang w:bidi="es-US"/>
      </w:rPr>
      <w:pict w14:anchorId="24BF3B06">
        <v:shapetype id="_x0000_t202" coordsize="21600,21600" o:spt="202" path="m,l,21600r21600,l21600,xe">
          <v:stroke joinstyle="miter"/>
          <v:path gradientshapeok="t" o:connecttype="rect"/>
        </v:shapetype>
        <v:shape id="_x0000_s1026" type="#_x0000_t202" style="position:absolute;margin-left:53.05pt;margin-top:738.9pt;width:105.7pt;height:15.45pt;z-index:-15791616;mso-position-horizontal-relative:page;mso-position-vertical-relative:page" filled="f" stroked="f">
          <v:textbox inset="0,0,0,0">
            <w:txbxContent>
              <w:p w14:paraId="681F876B" w14:textId="77777777" w:rsidR="00F21994" w:rsidRDefault="00000000">
                <w:pPr>
                  <w:pStyle w:val="BodyText"/>
                  <w:spacing w:before="12"/>
                  <w:ind w:left="20"/>
                </w:pPr>
                <w:r>
                  <w:rPr>
                    <w:color w:val="2F2F2F"/>
                    <w:lang w:bidi="es-US"/>
                  </w:rPr>
                  <w:t>Actualizado: 15/7/2023</w:t>
                </w:r>
              </w:p>
            </w:txbxContent>
          </v:textbox>
          <w10:wrap anchorx="page" anchory="page"/>
        </v:shape>
      </w:pict>
    </w:r>
    <w:r>
      <w:rPr>
        <w:noProof/>
        <w:lang w:bidi="es-US"/>
      </w:rPr>
      <w:pict w14:anchorId="5748225B">
        <v:shape id="_x0000_s1025" type="#_x0000_t202" style="position:absolute;margin-left:288.15pt;margin-top:738.9pt;width:36.95pt;height:15.45pt;z-index:-15791104;mso-position-horizontal-relative:page;mso-position-vertical-relative:page" filled="f" stroked="f">
          <v:textbox inset="0,0,0,0">
            <w:txbxContent>
              <w:p w14:paraId="00F9D5A3" w14:textId="77777777" w:rsidR="00F21994" w:rsidRDefault="00000000">
                <w:pPr>
                  <w:pStyle w:val="BodyText"/>
                  <w:spacing w:before="12"/>
                  <w:ind w:left="60"/>
                </w:pPr>
                <w:r>
                  <w:rPr>
                    <w:lang w:bidi="es-US"/>
                  </w:rPr>
                  <w:fldChar w:fldCharType="begin"/>
                </w:r>
                <w:r>
                  <w:rPr>
                    <w:color w:val="2F2F2F"/>
                    <w:lang w:bidi="es-US"/>
                  </w:rPr>
                  <w:instrText xml:space="preserve"> PAGE </w:instrText>
                </w:r>
                <w:r>
                  <w:rPr>
                    <w:lang w:bidi="es-US"/>
                  </w:rPr>
                  <w:fldChar w:fldCharType="separate"/>
                </w:r>
                <w:r>
                  <w:rPr>
                    <w:lang w:bidi="es-US"/>
                  </w:rPr>
                  <w:t>1</w:t>
                </w:r>
                <w:r>
                  <w:rPr>
                    <w:lang w:bidi="es-US"/>
                  </w:rPr>
                  <w:fldChar w:fldCharType="end"/>
                </w:r>
                <w:r>
                  <w:rPr>
                    <w:color w:val="2F2F2F"/>
                    <w:lang w:bidi="es-US"/>
                  </w:rPr>
                  <w:t xml:space="preserve"> de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951B6" w14:textId="77777777" w:rsidR="00624F3C" w:rsidRDefault="00624F3C">
      <w:r>
        <w:separator/>
      </w:r>
    </w:p>
  </w:footnote>
  <w:footnote w:type="continuationSeparator" w:id="0">
    <w:p w14:paraId="3F8243C6" w14:textId="77777777" w:rsidR="00624F3C" w:rsidRDefault="00624F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FB74E" w14:textId="562BF861" w:rsidR="00F21994" w:rsidRDefault="00976BA9">
    <w:pPr>
      <w:pStyle w:val="BodyText"/>
      <w:spacing w:line="14" w:lineRule="auto"/>
      <w:rPr>
        <w:sz w:val="20"/>
      </w:rPr>
    </w:pPr>
    <w:r>
      <w:rPr>
        <w:lang w:bidi="es-US"/>
      </w:rPr>
      <w:pict w14:anchorId="3590AA4A">
        <v:shapetype id="_x0000_t202" coordsize="21600,21600" o:spt="202" path="m,l,21600r21600,l21600,xe">
          <v:stroke joinstyle="miter"/>
          <v:path gradientshapeok="t" o:connecttype="rect"/>
        </v:shapetype>
        <v:shape id="_x0000_s1027" type="#_x0000_t202" style="position:absolute;margin-left:83.05pt;margin-top:35.4pt;width:333.4pt;height:29.2pt;z-index:-15792640;mso-position-horizontal-relative:page;mso-position-vertical-relative:page" filled="f" stroked="f">
          <v:textbox inset="0,0,0,0">
            <w:txbxContent>
              <w:p w14:paraId="055ADA59" w14:textId="77777777" w:rsidR="00F21994" w:rsidRDefault="00000000">
                <w:pPr>
                  <w:pStyle w:val="BodyText"/>
                  <w:spacing w:before="12" w:line="275" w:lineRule="exact"/>
                  <w:ind w:left="20"/>
                </w:pPr>
                <w:r>
                  <w:rPr>
                    <w:color w:val="2F2F2F"/>
                    <w:lang w:bidi="es-US"/>
                  </w:rPr>
                  <w:t>Estado de Vermont, Agencia de Recursos Naturales</w:t>
                </w:r>
              </w:p>
              <w:p w14:paraId="09774148" w14:textId="77777777" w:rsidR="00F21994" w:rsidRDefault="00000000">
                <w:pPr>
                  <w:spacing w:line="275" w:lineRule="exact"/>
                  <w:ind w:left="20"/>
                  <w:rPr>
                    <w:rFonts w:ascii="Arial"/>
                    <w:b/>
                    <w:sz w:val="24"/>
                  </w:rPr>
                </w:pPr>
                <w:r>
                  <w:rPr>
                    <w:b/>
                    <w:color w:val="2F2F2F"/>
                    <w:sz w:val="24"/>
                    <w:lang w:bidi="es-US"/>
                  </w:rPr>
                  <w:t>Recursos para la recuperación tras una inundación</w:t>
                </w:r>
              </w:p>
            </w:txbxContent>
          </v:textbox>
          <w10:wrap anchorx="page" anchory="page"/>
        </v:shape>
      </w:pict>
    </w:r>
    <w:r w:rsidR="00000000">
      <w:rPr>
        <w:noProof/>
        <w:lang w:bidi="es-US"/>
      </w:rPr>
      <w:drawing>
        <wp:anchor distT="0" distB="0" distL="0" distR="0" simplePos="0" relativeHeight="251656192" behindDoc="1" locked="0" layoutInCell="1" allowOverlap="1" wp14:anchorId="5A92B70B" wp14:editId="761915F2">
          <wp:simplePos x="0" y="0"/>
          <wp:positionH relativeFrom="page">
            <wp:posOffset>685800</wp:posOffset>
          </wp:positionH>
          <wp:positionV relativeFrom="page">
            <wp:posOffset>457212</wp:posOffset>
          </wp:positionV>
          <wp:extent cx="240722" cy="3652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40722" cy="365239"/>
                  </a:xfrm>
                  <a:prstGeom prst="rect">
                    <a:avLst/>
                  </a:prstGeom>
                </pic:spPr>
              </pic:pic>
            </a:graphicData>
          </a:graphic>
        </wp:anchor>
      </w:drawing>
    </w:r>
    <w:r w:rsidR="00000000">
      <w:rPr>
        <w:lang w:bidi="es-US"/>
      </w:rPr>
      <w:pict w14:anchorId="0D3E996D">
        <v:shape id="_x0000_s1028" style="position:absolute;margin-left:54.05pt;margin-top:77.55pt;width:504.25pt;height:.5pt;z-index:-15793152;mso-position-horizontal-relative:page;mso-position-vertical-relative:page" coordorigin="1081,1551" coordsize="10085,10" o:spt="100" adj="0,,0" path="m11160,1551r-10074,l1081,1551r,5l1081,1561r5,l11160,1561r,-5l11160,1551xm11165,1551r-5,l11160,1556r,5l11165,1561r,-5l11165,1551xe" fillcolor="#9f9f9f" stroked="f">
          <v:stroke joinstyle="round"/>
          <v:formulas/>
          <v:path arrowok="t" o:connecttype="segments"/>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317EEB"/>
    <w:multiLevelType w:val="hybridMultilevel"/>
    <w:tmpl w:val="A24CA838"/>
    <w:lvl w:ilvl="0" w:tplc="DE1ED632">
      <w:numFmt w:val="bullet"/>
      <w:lvlText w:val=""/>
      <w:lvlJc w:val="left"/>
      <w:pPr>
        <w:ind w:left="821" w:hanging="361"/>
      </w:pPr>
      <w:rPr>
        <w:rFonts w:ascii="Symbol" w:eastAsia="Symbol" w:hAnsi="Symbol" w:cs="Symbol" w:hint="default"/>
        <w:color w:val="2F2F2F"/>
        <w:w w:val="100"/>
        <w:sz w:val="24"/>
        <w:szCs w:val="24"/>
        <w:lang w:val="en-US" w:eastAsia="en-US" w:bidi="ar-SA"/>
      </w:rPr>
    </w:lvl>
    <w:lvl w:ilvl="1" w:tplc="C3E8226E">
      <w:numFmt w:val="bullet"/>
      <w:lvlText w:val="•"/>
      <w:lvlJc w:val="left"/>
      <w:pPr>
        <w:ind w:left="1135" w:hanging="361"/>
      </w:pPr>
      <w:rPr>
        <w:rFonts w:hint="default"/>
        <w:lang w:val="en-US" w:eastAsia="en-US" w:bidi="ar-SA"/>
      </w:rPr>
    </w:lvl>
    <w:lvl w:ilvl="2" w:tplc="16B8E572">
      <w:numFmt w:val="bullet"/>
      <w:lvlText w:val="•"/>
      <w:lvlJc w:val="left"/>
      <w:pPr>
        <w:ind w:left="1450" w:hanging="361"/>
      </w:pPr>
      <w:rPr>
        <w:rFonts w:hint="default"/>
        <w:lang w:val="en-US" w:eastAsia="en-US" w:bidi="ar-SA"/>
      </w:rPr>
    </w:lvl>
    <w:lvl w:ilvl="3" w:tplc="06263ACE">
      <w:numFmt w:val="bullet"/>
      <w:lvlText w:val="•"/>
      <w:lvlJc w:val="left"/>
      <w:pPr>
        <w:ind w:left="1765" w:hanging="361"/>
      </w:pPr>
      <w:rPr>
        <w:rFonts w:hint="default"/>
        <w:lang w:val="en-US" w:eastAsia="en-US" w:bidi="ar-SA"/>
      </w:rPr>
    </w:lvl>
    <w:lvl w:ilvl="4" w:tplc="642C8A60">
      <w:numFmt w:val="bullet"/>
      <w:lvlText w:val="•"/>
      <w:lvlJc w:val="left"/>
      <w:pPr>
        <w:ind w:left="2080" w:hanging="361"/>
      </w:pPr>
      <w:rPr>
        <w:rFonts w:hint="default"/>
        <w:lang w:val="en-US" w:eastAsia="en-US" w:bidi="ar-SA"/>
      </w:rPr>
    </w:lvl>
    <w:lvl w:ilvl="5" w:tplc="EB54A57C">
      <w:numFmt w:val="bullet"/>
      <w:lvlText w:val="•"/>
      <w:lvlJc w:val="left"/>
      <w:pPr>
        <w:ind w:left="2396" w:hanging="361"/>
      </w:pPr>
      <w:rPr>
        <w:rFonts w:hint="default"/>
        <w:lang w:val="en-US" w:eastAsia="en-US" w:bidi="ar-SA"/>
      </w:rPr>
    </w:lvl>
    <w:lvl w:ilvl="6" w:tplc="1728D3EC">
      <w:numFmt w:val="bullet"/>
      <w:lvlText w:val="•"/>
      <w:lvlJc w:val="left"/>
      <w:pPr>
        <w:ind w:left="2711" w:hanging="361"/>
      </w:pPr>
      <w:rPr>
        <w:rFonts w:hint="default"/>
        <w:lang w:val="en-US" w:eastAsia="en-US" w:bidi="ar-SA"/>
      </w:rPr>
    </w:lvl>
    <w:lvl w:ilvl="7" w:tplc="84448D82">
      <w:numFmt w:val="bullet"/>
      <w:lvlText w:val="•"/>
      <w:lvlJc w:val="left"/>
      <w:pPr>
        <w:ind w:left="3026" w:hanging="361"/>
      </w:pPr>
      <w:rPr>
        <w:rFonts w:hint="default"/>
        <w:lang w:val="en-US" w:eastAsia="en-US" w:bidi="ar-SA"/>
      </w:rPr>
    </w:lvl>
    <w:lvl w:ilvl="8" w:tplc="17C403F4">
      <w:numFmt w:val="bullet"/>
      <w:lvlText w:val="•"/>
      <w:lvlJc w:val="left"/>
      <w:pPr>
        <w:ind w:left="3341" w:hanging="361"/>
      </w:pPr>
      <w:rPr>
        <w:rFonts w:hint="default"/>
        <w:lang w:val="en-US" w:eastAsia="en-US" w:bidi="ar-SA"/>
      </w:rPr>
    </w:lvl>
  </w:abstractNum>
  <w:num w:numId="1" w16cid:durableId="1037899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21994"/>
    <w:rsid w:val="001A5A44"/>
    <w:rsid w:val="0052595F"/>
    <w:rsid w:val="005C04C7"/>
    <w:rsid w:val="00624F3C"/>
    <w:rsid w:val="00976BA9"/>
    <w:rsid w:val="00A15698"/>
    <w:rsid w:val="00F21994"/>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
  <w:listSeparator w:val=";"/>
  <w14:docId w14:val="4CABC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MT" w:eastAsia="Arial MT" w:hAnsi="Arial MT" w:cs="Arial MT"/>
    </w:rPr>
  </w:style>
  <w:style w:type="paragraph" w:styleId="Heading1">
    <w:name w:val="heading 1"/>
    <w:basedOn w:val="Normal"/>
    <w:uiPriority w:val="9"/>
    <w:qFormat/>
    <w:pPr>
      <w:ind w:left="100"/>
      <w:outlineLvl w:val="0"/>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83"/>
      <w:ind w:left="2707" w:right="2687"/>
      <w:jc w:val="center"/>
    </w:pPr>
    <w:rPr>
      <w:sz w:val="52"/>
      <w:szCs w:val="52"/>
    </w:rPr>
  </w:style>
  <w:style w:type="paragraph" w:styleId="ListParagraph">
    <w:name w:val="List Paragraph"/>
    <w:basedOn w:val="Normal"/>
    <w:uiPriority w:val="1"/>
    <w:qFormat/>
    <w:pPr>
      <w:spacing w:line="292" w:lineRule="exact"/>
      <w:ind w:left="821"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2595F"/>
    <w:pPr>
      <w:tabs>
        <w:tab w:val="center" w:pos="4419"/>
        <w:tab w:val="right" w:pos="8838"/>
      </w:tabs>
    </w:pPr>
  </w:style>
  <w:style w:type="character" w:customStyle="1" w:styleId="HeaderChar">
    <w:name w:val="Header Char"/>
    <w:basedOn w:val="DefaultParagraphFont"/>
    <w:link w:val="Header"/>
    <w:uiPriority w:val="99"/>
    <w:rsid w:val="0052595F"/>
    <w:rPr>
      <w:rFonts w:ascii="Arial MT" w:eastAsia="Arial MT" w:hAnsi="Arial MT" w:cs="Arial MT"/>
    </w:rPr>
  </w:style>
  <w:style w:type="paragraph" w:styleId="Footer">
    <w:name w:val="footer"/>
    <w:basedOn w:val="Normal"/>
    <w:link w:val="FooterChar"/>
    <w:uiPriority w:val="99"/>
    <w:unhideWhenUsed/>
    <w:rsid w:val="0052595F"/>
    <w:pPr>
      <w:tabs>
        <w:tab w:val="center" w:pos="4419"/>
        <w:tab w:val="right" w:pos="8838"/>
      </w:tabs>
    </w:pPr>
  </w:style>
  <w:style w:type="character" w:customStyle="1" w:styleId="FooterChar">
    <w:name w:val="Footer Char"/>
    <w:basedOn w:val="DefaultParagraphFont"/>
    <w:link w:val="Footer"/>
    <w:uiPriority w:val="99"/>
    <w:rsid w:val="0052595F"/>
    <w:rPr>
      <w:rFonts w:ascii="Arial MT" w:eastAsia="Arial MT" w:hAnsi="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nrweb.vt.gov/DEC/DWGWP/license.aspx?Report=Boi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17" ma:contentTypeDescription="Create a new document." ma:contentTypeScope="" ma:versionID="9671aea733a730e628de895c550f915d">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4aedaad31b78e89c5ece4aecdd74e935"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Status"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Status" ma:index="21" nillable="true" ma:displayName="Status" ma:format="Dropdown" ma:internalName="Status">
      <xsd:simpleType>
        <xsd:restriction base="dms:Choice">
          <xsd:enumeration value="Paused"/>
          <xsd:enumeration value="2024"/>
          <xsd:enumeration value="Next for Review"/>
          <xsd:enumeration value="In Review"/>
          <xsd:enumeration value="Ready for Release"/>
          <xsd:enumeration value="Needs Draft"/>
          <xsd:enumeration value="Drafted"/>
          <xsd:enumeration value="Later"/>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5317a59-f9bc-47d6-9914-4881c63cb179}"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Status xmlns="2819d22d-c924-42b3-954a-d3b43813cc67" xsi:nil="true"/>
  </documentManagement>
</p:properties>
</file>

<file path=customXml/itemProps1.xml><?xml version="1.0" encoding="utf-8"?>
<ds:datastoreItem xmlns:ds="http://schemas.openxmlformats.org/officeDocument/2006/customXml" ds:itemID="{E48B9C37-630B-4588-BBCD-2026AA9A2556}"/>
</file>

<file path=customXml/itemProps2.xml><?xml version="1.0" encoding="utf-8"?>
<ds:datastoreItem xmlns:ds="http://schemas.openxmlformats.org/officeDocument/2006/customXml" ds:itemID="{BA10F96F-9FFC-4C6F-96AF-A97505F07D56}"/>
</file>

<file path=customXml/itemProps3.xml><?xml version="1.0" encoding="utf-8"?>
<ds:datastoreItem xmlns:ds="http://schemas.openxmlformats.org/officeDocument/2006/customXml" ds:itemID="{2B0DF51F-AB40-4DAC-BA93-C5C094C99C1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2023-07-18T16:14:00Z</dcterms:created>
  <dcterms:modified xsi:type="dcterms:W3CDTF">2023-07-19T21:14:00Z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ies>
</file>