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3ABA" w14:textId="77777777" w:rsidR="00192F5C" w:rsidRPr="00A16095" w:rsidRDefault="00A16095">
      <w:pPr>
        <w:pStyle w:val="BodyText"/>
        <w:bidi/>
        <w:spacing w:before="80" w:line="275" w:lineRule="exact"/>
        <w:ind w:left="740"/>
      </w:pPr>
      <w:r w:rsidRPr="00A16095">
        <w:rPr>
          <w:noProof/>
          <w:rtl/>
          <w:lang w:eastAsia="ar" w:bidi="ar-MA"/>
        </w:rPr>
        <w:drawing>
          <wp:anchor distT="0" distB="0" distL="0" distR="0" simplePos="0" relativeHeight="15730688" behindDoc="0" locked="0" layoutInCell="1" allowOverlap="1" wp14:anchorId="286C10ED" wp14:editId="224C68EA">
            <wp:simplePos x="0" y="0"/>
            <wp:positionH relativeFrom="page">
              <wp:posOffset>7085275</wp:posOffset>
            </wp:positionH>
            <wp:positionV relativeFrom="paragraph">
              <wp:posOffset>56791</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0722" cy="365239"/>
                    </a:xfrm>
                    <a:prstGeom prst="rect">
                      <a:avLst/>
                    </a:prstGeom>
                  </pic:spPr>
                </pic:pic>
              </a:graphicData>
            </a:graphic>
          </wp:anchor>
        </w:drawing>
      </w:r>
      <w:r w:rsidRPr="00A16095">
        <w:rPr>
          <w:color w:val="2F2F2F"/>
          <w:rtl/>
          <w:lang w:eastAsia="ar" w:bidi="ar-MA"/>
        </w:rPr>
        <w:t>ولاية فيرمونت ، وكالة الموارد الطبيعية</w:t>
      </w:r>
    </w:p>
    <w:p w14:paraId="03E9CB1D" w14:textId="77777777" w:rsidR="00192F5C" w:rsidRPr="00A16095" w:rsidRDefault="00A16095">
      <w:pPr>
        <w:pStyle w:val="Heading2"/>
        <w:bidi/>
        <w:spacing w:line="275" w:lineRule="exact"/>
        <w:ind w:firstLine="0"/>
        <w:rPr>
          <w:rFonts w:ascii="Arial MT" w:hAnsi="Arial MT"/>
        </w:rPr>
      </w:pPr>
      <w:r w:rsidRPr="00A16095">
        <w:rPr>
          <w:color w:val="2F2F2F"/>
          <w:rtl/>
          <w:lang w:eastAsia="ar" w:bidi="ar-MA"/>
        </w:rPr>
        <w:t>موارد التعافي من الفيضانات</w:t>
      </w:r>
    </w:p>
    <w:p w14:paraId="3B21CD56" w14:textId="77777777" w:rsidR="00192F5C" w:rsidRPr="00A16095" w:rsidRDefault="00000000">
      <w:pPr>
        <w:pStyle w:val="BodyText"/>
        <w:bidi/>
        <w:spacing w:before="10"/>
        <w:ind w:left="0"/>
        <w:rPr>
          <w:b/>
          <w:sz w:val="20"/>
        </w:rPr>
      </w:pPr>
      <w:r>
        <w:rPr>
          <w:lang w:eastAsia="ar" w:bidi="ar-MA"/>
        </w:rPr>
        <w:pict w14:anchorId="1BC67E0E">
          <v:shape id="_x0000_s2054" style="position:absolute;left:0;text-align:left;margin-left:36.05pt;margin-top:14pt;width:540.25pt;height:.5pt;z-index:-15728640;mso-wrap-distance-left:0;mso-wrap-distance-right:0;mso-position-horizontal-relative:page" coordorigin="721,280" coordsize="10805,10" o:spt="100" adj="0,,0" path="m11520,280l726,280r-5,l721,285r,5l726,290r10794,l11520,285r,-5xm11525,280r-5,l11520,285r,5l11525,290r,-5l11525,280xe" fillcolor="#9f9f9f" stroked="f">
            <v:stroke joinstyle="round"/>
            <v:formulas/>
            <v:path arrowok="t" o:connecttype="segments"/>
            <w10:wrap type="topAndBottom" anchorx="page"/>
          </v:shape>
        </w:pict>
      </w:r>
    </w:p>
    <w:p w14:paraId="1ACF1FC1" w14:textId="77777777" w:rsidR="00192F5C" w:rsidRPr="00A16095" w:rsidRDefault="00192F5C">
      <w:pPr>
        <w:pStyle w:val="BodyText"/>
        <w:bidi/>
        <w:spacing w:before="9"/>
        <w:ind w:left="0"/>
        <w:rPr>
          <w:b/>
          <w:sz w:val="14"/>
        </w:rPr>
      </w:pPr>
    </w:p>
    <w:p w14:paraId="1701FBD8" w14:textId="77777777" w:rsidR="00192F5C" w:rsidRPr="00A16095" w:rsidRDefault="00A16095" w:rsidP="008E2E8B">
      <w:pPr>
        <w:pStyle w:val="Title"/>
        <w:bidi/>
        <w:ind w:left="2048" w:right="1985"/>
      </w:pPr>
      <w:bookmarkStart w:id="0" w:name="Flood_Debris_Cleanup"/>
      <w:bookmarkEnd w:id="0"/>
      <w:r w:rsidRPr="00A16095">
        <w:rPr>
          <w:color w:val="007940"/>
          <w:rtl/>
          <w:lang w:eastAsia="ar" w:bidi="ar-MA"/>
        </w:rPr>
        <w:t>تنظيف الحطام الذي خلفته الفيضانات</w:t>
      </w:r>
    </w:p>
    <w:p w14:paraId="422740F2" w14:textId="68619ACB" w:rsidR="00192F5C" w:rsidRPr="000417A2" w:rsidRDefault="00A16095">
      <w:pPr>
        <w:pStyle w:val="BodyText"/>
        <w:bidi/>
        <w:spacing w:before="145"/>
        <w:ind w:left="140" w:right="171"/>
        <w:jc w:val="both"/>
        <w:rPr>
          <w:u w:val="single"/>
        </w:rPr>
      </w:pPr>
      <w:r w:rsidRPr="00A16095">
        <w:rPr>
          <w:color w:val="2F2F2F"/>
          <w:rtl/>
          <w:lang w:eastAsia="ar" w:bidi="ar-MA"/>
        </w:rPr>
        <w:t xml:space="preserve">بعد حدوث الفيضان، يمكن التخلص من معظم الحطام في حاوية واحدة. يمكن التخلص من المواد القابلة لإعادة التدوير أو نفايات الطعام المتضررة من الفيضانات في سلة المهملات. يحتاج مواد تنظيف الطلاء، والمواد الكيميائية، والبترول، والغاز، والمبيدات الحشرية، والمواد الخطرة الأخرى في الطوابق السفلية والعقارات المتضررة من الفيضانات إلى الحصول على عناية خاصة عند التخلص منها. لحماية عمال التخلص من النفايات الصلبة والبيئة، من الضروري أن يقوم السكان والشركات والمقاولون وأطقم عمال التنظيف </w:t>
      </w:r>
      <w:r w:rsidRPr="000417A2">
        <w:rPr>
          <w:color w:val="2F2F2F"/>
          <w:u w:val="single"/>
          <w:rtl/>
          <w:lang w:eastAsia="ar" w:bidi="ar-MA"/>
        </w:rPr>
        <w:t>بفصل العناصر الخطرة عن النفايات.</w:t>
      </w:r>
    </w:p>
    <w:p w14:paraId="76F35595" w14:textId="77777777" w:rsidR="00192F5C" w:rsidRPr="000417A2" w:rsidRDefault="00192F5C">
      <w:pPr>
        <w:pStyle w:val="BodyText"/>
        <w:bidi/>
        <w:spacing w:before="2"/>
        <w:ind w:left="0"/>
        <w:rPr>
          <w:u w:val="single"/>
        </w:rPr>
      </w:pPr>
    </w:p>
    <w:p w14:paraId="702734E1" w14:textId="77777777" w:rsidR="00192F5C" w:rsidRPr="00A16095" w:rsidRDefault="00A16095">
      <w:pPr>
        <w:pStyle w:val="Heading1"/>
        <w:bidi/>
        <w:rPr>
          <w:rFonts w:ascii="Arial MT" w:hAnsi="Arial MT"/>
        </w:rPr>
      </w:pPr>
      <w:r w:rsidRPr="00A16095">
        <w:rPr>
          <w:rtl/>
          <w:lang w:eastAsia="ar" w:bidi="ar-MA"/>
        </w:rPr>
        <w:t>احتفظ بالعناصر التالية منفصلة عن النفايات:</w:t>
      </w:r>
    </w:p>
    <w:p w14:paraId="2B249067" w14:textId="77777777" w:rsidR="00192F5C" w:rsidRPr="00A16095" w:rsidRDefault="00192F5C">
      <w:pPr>
        <w:bidi/>
        <w:sectPr w:rsidR="00192F5C" w:rsidRPr="00A16095" w:rsidSect="008E2E8B">
          <w:footerReference w:type="default" r:id="rId8"/>
          <w:type w:val="continuous"/>
          <w:pgSz w:w="12240" w:h="15840"/>
          <w:pgMar w:top="640" w:right="540" w:bottom="1418" w:left="580" w:header="720" w:footer="720" w:gutter="0"/>
          <w:cols w:space="720"/>
        </w:sectPr>
      </w:pPr>
    </w:p>
    <w:p w14:paraId="34C49237" w14:textId="77777777" w:rsidR="00192F5C" w:rsidRPr="00A16095" w:rsidRDefault="00A16095">
      <w:pPr>
        <w:pStyle w:val="ListParagraph"/>
        <w:numPr>
          <w:ilvl w:val="0"/>
          <w:numId w:val="2"/>
        </w:numPr>
        <w:tabs>
          <w:tab w:val="left" w:pos="586"/>
        </w:tabs>
        <w:bidi/>
        <w:spacing w:before="121"/>
        <w:ind w:right="101"/>
        <w:rPr>
          <w:sz w:val="24"/>
        </w:rPr>
      </w:pPr>
      <w:r w:rsidRPr="00A16095">
        <w:rPr>
          <w:color w:val="2F2F2F"/>
          <w:sz w:val="24"/>
          <w:szCs w:val="24"/>
          <w:rtl/>
          <w:lang w:eastAsia="ar" w:bidi="ar-MA"/>
        </w:rPr>
        <w:t>النفايات الخطرة مثل؛ المواد السامة، والمبيدات الحشرية، والمواد القابلة للاشتعال، والبنزين، والزيت، والمواد الكيميائية الخاصة بتنظيف حمامات السباحة، والأحماض، ومنظف الصرف، والألعاب النارية، والمشاعل، والذخيرة، و"الأدوات الحادة" غير المحمية</w:t>
      </w:r>
    </w:p>
    <w:p w14:paraId="742A16CD" w14:textId="77777777" w:rsidR="00192F5C" w:rsidRPr="00A16095" w:rsidRDefault="00A16095">
      <w:pPr>
        <w:pStyle w:val="ListParagraph"/>
        <w:numPr>
          <w:ilvl w:val="0"/>
          <w:numId w:val="2"/>
        </w:numPr>
        <w:tabs>
          <w:tab w:val="left" w:pos="586"/>
        </w:tabs>
        <w:bidi/>
        <w:spacing w:before="121"/>
        <w:ind w:hanging="291"/>
        <w:rPr>
          <w:sz w:val="24"/>
        </w:rPr>
      </w:pPr>
      <w:r w:rsidRPr="00A16095">
        <w:rPr>
          <w:color w:val="2F2F2F"/>
          <w:sz w:val="24"/>
          <w:szCs w:val="24"/>
          <w:rtl/>
          <w:lang w:eastAsia="ar" w:bidi="ar-MA"/>
        </w:rPr>
        <w:t>البنزين، ومنظف الفرامل، ومنتجات السيارات السامة الأخرى</w:t>
      </w:r>
    </w:p>
    <w:p w14:paraId="0DB9B9FA" w14:textId="77777777" w:rsidR="00192F5C" w:rsidRPr="00A16095" w:rsidRDefault="00A16095">
      <w:pPr>
        <w:pStyle w:val="ListParagraph"/>
        <w:numPr>
          <w:ilvl w:val="0"/>
          <w:numId w:val="2"/>
        </w:numPr>
        <w:tabs>
          <w:tab w:val="left" w:pos="586"/>
        </w:tabs>
        <w:bidi/>
        <w:spacing w:before="119"/>
        <w:ind w:hanging="291"/>
        <w:rPr>
          <w:sz w:val="24"/>
        </w:rPr>
      </w:pPr>
      <w:r w:rsidRPr="00A16095">
        <w:rPr>
          <w:color w:val="2F2F2F"/>
          <w:sz w:val="24"/>
          <w:szCs w:val="24"/>
          <w:rtl/>
          <w:lang w:eastAsia="ar" w:bidi="ar-MA"/>
        </w:rPr>
        <w:t>الطلاء، والبقع، والورنيش، ومخفف الطلاء/مزيل الطلاء</w:t>
      </w:r>
    </w:p>
    <w:p w14:paraId="292056E8" w14:textId="77777777" w:rsidR="00192F5C" w:rsidRPr="00A16095" w:rsidRDefault="00A16095">
      <w:pPr>
        <w:pStyle w:val="ListParagraph"/>
        <w:numPr>
          <w:ilvl w:val="0"/>
          <w:numId w:val="2"/>
        </w:numPr>
        <w:tabs>
          <w:tab w:val="left" w:pos="586"/>
        </w:tabs>
        <w:bidi/>
        <w:spacing w:before="119"/>
        <w:ind w:hanging="291"/>
        <w:rPr>
          <w:sz w:val="24"/>
        </w:rPr>
      </w:pPr>
      <w:r w:rsidRPr="00A16095">
        <w:rPr>
          <w:color w:val="2F2F2F"/>
          <w:sz w:val="24"/>
          <w:szCs w:val="24"/>
          <w:rtl/>
          <w:lang w:eastAsia="ar" w:bidi="ar-MA"/>
        </w:rPr>
        <w:t>أسطوانات البروبان وأسطوانات الغاز الأخرى</w:t>
      </w:r>
    </w:p>
    <w:p w14:paraId="58B2C6C4" w14:textId="77777777" w:rsidR="00192F5C" w:rsidRPr="00A16095" w:rsidRDefault="00A16095">
      <w:pPr>
        <w:pStyle w:val="ListParagraph"/>
        <w:numPr>
          <w:ilvl w:val="0"/>
          <w:numId w:val="2"/>
        </w:numPr>
        <w:tabs>
          <w:tab w:val="left" w:pos="586"/>
        </w:tabs>
        <w:bidi/>
        <w:spacing w:before="120"/>
        <w:ind w:hanging="291"/>
        <w:rPr>
          <w:sz w:val="24"/>
        </w:rPr>
      </w:pPr>
      <w:r w:rsidRPr="00A16095">
        <w:rPr>
          <w:color w:val="2F2F2F"/>
          <w:sz w:val="24"/>
          <w:szCs w:val="24"/>
          <w:rtl/>
          <w:lang w:eastAsia="ar" w:bidi="ar-MA"/>
        </w:rPr>
        <w:t>المخلفات الخطرة</w:t>
      </w:r>
    </w:p>
    <w:p w14:paraId="5D8027CA" w14:textId="77777777" w:rsidR="00192F5C" w:rsidRPr="00A16095" w:rsidRDefault="00A16095">
      <w:pPr>
        <w:pStyle w:val="ListParagraph"/>
        <w:numPr>
          <w:ilvl w:val="0"/>
          <w:numId w:val="2"/>
        </w:numPr>
        <w:tabs>
          <w:tab w:val="left" w:pos="586"/>
        </w:tabs>
        <w:bidi/>
        <w:spacing w:before="181"/>
        <w:ind w:hanging="291"/>
        <w:rPr>
          <w:sz w:val="24"/>
        </w:rPr>
      </w:pPr>
      <w:r w:rsidRPr="00A16095">
        <w:rPr>
          <w:color w:val="2F2F2F"/>
          <w:sz w:val="24"/>
          <w:szCs w:val="24"/>
          <w:rtl/>
          <w:lang w:eastAsia="ar" w:bidi="ar-MA"/>
        </w:rPr>
        <w:br w:type="column"/>
      </w:r>
      <w:r w:rsidRPr="00A16095">
        <w:rPr>
          <w:color w:val="2F2F2F"/>
          <w:sz w:val="24"/>
          <w:szCs w:val="24"/>
          <w:rtl/>
          <w:lang w:eastAsia="ar" w:bidi="ar-MA"/>
        </w:rPr>
        <w:t>البطاريات</w:t>
      </w:r>
    </w:p>
    <w:p w14:paraId="18836161" w14:textId="77777777" w:rsidR="00192F5C" w:rsidRPr="00A16095" w:rsidRDefault="00A16095">
      <w:pPr>
        <w:pStyle w:val="ListParagraph"/>
        <w:numPr>
          <w:ilvl w:val="0"/>
          <w:numId w:val="2"/>
        </w:numPr>
        <w:tabs>
          <w:tab w:val="left" w:pos="586"/>
        </w:tabs>
        <w:bidi/>
        <w:ind w:hanging="291"/>
        <w:rPr>
          <w:sz w:val="24"/>
        </w:rPr>
      </w:pPr>
      <w:r w:rsidRPr="00A16095">
        <w:rPr>
          <w:color w:val="2F2F2F"/>
          <w:sz w:val="24"/>
          <w:szCs w:val="24"/>
          <w:rtl/>
          <w:lang w:eastAsia="ar" w:bidi="ar-MA"/>
        </w:rPr>
        <w:t>الإلكترونيات</w:t>
      </w:r>
    </w:p>
    <w:p w14:paraId="033B766C" w14:textId="77777777" w:rsidR="00192F5C" w:rsidRPr="00A16095" w:rsidRDefault="00A16095">
      <w:pPr>
        <w:pStyle w:val="ListParagraph"/>
        <w:numPr>
          <w:ilvl w:val="0"/>
          <w:numId w:val="2"/>
        </w:numPr>
        <w:tabs>
          <w:tab w:val="left" w:pos="586"/>
        </w:tabs>
        <w:bidi/>
        <w:ind w:right="724"/>
        <w:rPr>
          <w:sz w:val="24"/>
        </w:rPr>
      </w:pPr>
      <w:r w:rsidRPr="00A16095">
        <w:rPr>
          <w:color w:val="2F2F2F"/>
          <w:sz w:val="24"/>
          <w:szCs w:val="24"/>
          <w:rtl/>
          <w:lang w:eastAsia="ar" w:bidi="ar-MA"/>
        </w:rPr>
        <w:t>المنتجات التي تحتوي على الزئبق مثل المصابيح الفلورية والثرموستات ومقاييس الحرارة</w:t>
      </w:r>
    </w:p>
    <w:p w14:paraId="1B3AB8D8" w14:textId="77777777" w:rsidR="00192F5C" w:rsidRPr="00A16095" w:rsidRDefault="00A16095">
      <w:pPr>
        <w:pStyle w:val="ListParagraph"/>
        <w:numPr>
          <w:ilvl w:val="0"/>
          <w:numId w:val="2"/>
        </w:numPr>
        <w:tabs>
          <w:tab w:val="left" w:pos="586"/>
        </w:tabs>
        <w:bidi/>
        <w:spacing w:before="63"/>
        <w:ind w:hanging="291"/>
        <w:rPr>
          <w:sz w:val="24"/>
        </w:rPr>
      </w:pPr>
      <w:r w:rsidRPr="00A16095">
        <w:rPr>
          <w:color w:val="2F2F2F"/>
          <w:sz w:val="24"/>
          <w:szCs w:val="24"/>
          <w:rtl/>
          <w:lang w:eastAsia="ar" w:bidi="ar-MA"/>
        </w:rPr>
        <w:t>الإطارات</w:t>
      </w:r>
    </w:p>
    <w:p w14:paraId="36D2055F" w14:textId="77777777" w:rsidR="00192F5C" w:rsidRPr="00A16095" w:rsidRDefault="00A16095">
      <w:pPr>
        <w:pStyle w:val="ListParagraph"/>
        <w:numPr>
          <w:ilvl w:val="0"/>
          <w:numId w:val="2"/>
        </w:numPr>
        <w:tabs>
          <w:tab w:val="left" w:pos="586"/>
        </w:tabs>
        <w:bidi/>
        <w:ind w:right="311"/>
        <w:rPr>
          <w:sz w:val="24"/>
        </w:rPr>
      </w:pPr>
      <w:r w:rsidRPr="00A16095">
        <w:rPr>
          <w:color w:val="2F2F2F"/>
          <w:sz w:val="24"/>
          <w:szCs w:val="24"/>
          <w:rtl/>
          <w:lang w:eastAsia="ar" w:bidi="ar-MA"/>
        </w:rPr>
        <w:t>الخردة المعدنية والأجهزة الكبيرة مثل الثلاجات والمجمدات والمواقد والغسالات والمجففات</w:t>
      </w:r>
    </w:p>
    <w:p w14:paraId="3224E242" w14:textId="77777777" w:rsidR="00192F5C" w:rsidRPr="00A16095" w:rsidRDefault="00192F5C">
      <w:pPr>
        <w:bidi/>
        <w:rPr>
          <w:sz w:val="24"/>
        </w:rPr>
        <w:sectPr w:rsidR="00192F5C" w:rsidRPr="00A16095">
          <w:type w:val="continuous"/>
          <w:pgSz w:w="12240" w:h="15840"/>
          <w:pgMar w:top="640" w:right="540" w:bottom="280" w:left="580" w:header="720" w:footer="720" w:gutter="0"/>
          <w:cols w:num="2" w:space="720" w:equalWidth="0">
            <w:col w:w="5133" w:space="629"/>
            <w:col w:w="5358"/>
          </w:cols>
        </w:sectPr>
      </w:pPr>
    </w:p>
    <w:p w14:paraId="4C08C229" w14:textId="77777777" w:rsidR="00192F5C" w:rsidRPr="00A16095" w:rsidRDefault="00192F5C">
      <w:pPr>
        <w:pStyle w:val="BodyText"/>
        <w:bidi/>
        <w:spacing w:before="2"/>
        <w:ind w:left="0"/>
        <w:rPr>
          <w:sz w:val="16"/>
        </w:rPr>
      </w:pPr>
    </w:p>
    <w:p w14:paraId="070D83FA" w14:textId="52F6E307" w:rsidR="00192F5C" w:rsidRPr="00A16095" w:rsidRDefault="00A16095">
      <w:pPr>
        <w:pStyle w:val="BodyText"/>
        <w:bidi/>
        <w:spacing w:before="93"/>
        <w:ind w:left="140" w:right="172"/>
        <w:jc w:val="both"/>
      </w:pPr>
      <w:r w:rsidRPr="00A16095">
        <w:rPr>
          <w:color w:val="2F2F2F"/>
          <w:rtl/>
          <w:lang w:eastAsia="ar" w:bidi="ar-MA"/>
        </w:rPr>
        <w:t>قد تتوفر خدمات جمع النفايات الخطرة المنزلية من كيانات إدارة جمع النفايات الصلبة (</w:t>
      </w:r>
      <w:r w:rsidRPr="00A16095">
        <w:rPr>
          <w:color w:val="2F2F2F"/>
          <w:lang w:eastAsia="ar" w:bidi="en-US"/>
        </w:rPr>
        <w:t>SWME</w:t>
      </w:r>
      <w:r w:rsidRPr="00A16095">
        <w:rPr>
          <w:color w:val="2F2F2F"/>
          <w:rtl/>
          <w:lang w:eastAsia="ar" w:bidi="ar-MA"/>
        </w:rPr>
        <w:t xml:space="preserve">). للتعرف على المزيد عن طريق الاتصال بكيانات إدارة جمع النفايات الصلبة عبر الموقع الإلكتروني </w:t>
      </w:r>
      <w:hyperlink r:id="rId9" w:history="1">
        <w:r w:rsidR="000279AF" w:rsidRPr="000279AF">
          <w:rPr>
            <w:rStyle w:val="Hyperlink"/>
            <w:color w:val="4F81BD" w:themeColor="accent1"/>
            <w:rtl/>
            <w:lang w:eastAsia="ar" w:bidi="ar-MA"/>
          </w:rPr>
          <w:t>802</w:t>
        </w:r>
        <w:r w:rsidR="000279AF" w:rsidRPr="000279AF">
          <w:rPr>
            <w:rStyle w:val="Hyperlink"/>
            <w:color w:val="4F81BD" w:themeColor="accent1"/>
            <w:lang w:eastAsia="ar" w:bidi="en-US"/>
          </w:rPr>
          <w:t>recycles.com</w:t>
        </w:r>
      </w:hyperlink>
      <w:r w:rsidRPr="00A16095">
        <w:rPr>
          <w:color w:val="2F2F2F"/>
          <w:rtl/>
          <w:lang w:eastAsia="ar" w:bidi="ar-MA"/>
        </w:rPr>
        <w:t>. قد تختلف الخدمات، ولكن قد يتم قبول بعض هذه العناصر في محطة النقل المحلية.</w:t>
      </w:r>
    </w:p>
    <w:p w14:paraId="2C8CC292" w14:textId="77777777" w:rsidR="00192F5C" w:rsidRPr="00A16095" w:rsidRDefault="00192F5C">
      <w:pPr>
        <w:pStyle w:val="BodyText"/>
        <w:bidi/>
        <w:spacing w:before="10"/>
        <w:ind w:left="0"/>
        <w:rPr>
          <w:sz w:val="23"/>
        </w:rPr>
      </w:pPr>
    </w:p>
    <w:p w14:paraId="2F113016" w14:textId="77777777" w:rsidR="00192F5C" w:rsidRPr="00A16095" w:rsidRDefault="00A16095">
      <w:pPr>
        <w:pStyle w:val="Heading1"/>
        <w:bidi/>
        <w:rPr>
          <w:rFonts w:ascii="Arial MT" w:hAnsi="Arial MT"/>
        </w:rPr>
      </w:pPr>
      <w:r w:rsidRPr="00A16095">
        <w:rPr>
          <w:rtl/>
          <w:lang w:eastAsia="ar" w:bidi="ar-MA"/>
        </w:rPr>
        <w:t>نصائح أخرى:</w:t>
      </w:r>
    </w:p>
    <w:p w14:paraId="416E75B0" w14:textId="77777777" w:rsidR="00192F5C" w:rsidRPr="00A16095" w:rsidRDefault="00A16095">
      <w:pPr>
        <w:pStyle w:val="ListParagraph"/>
        <w:numPr>
          <w:ilvl w:val="0"/>
          <w:numId w:val="1"/>
        </w:numPr>
        <w:tabs>
          <w:tab w:val="left" w:pos="585"/>
          <w:tab w:val="left" w:pos="586"/>
        </w:tabs>
        <w:bidi/>
        <w:spacing w:before="121"/>
        <w:ind w:hanging="361"/>
        <w:rPr>
          <w:sz w:val="24"/>
        </w:rPr>
      </w:pPr>
      <w:r w:rsidRPr="00A16095">
        <w:rPr>
          <w:color w:val="2F2F2F"/>
          <w:sz w:val="24"/>
          <w:szCs w:val="24"/>
          <w:rtl/>
          <w:lang w:eastAsia="ar" w:bidi="ar-MA"/>
        </w:rPr>
        <w:t>حافظ على سلامتك! استخدم القفازات والنظارات الواقية. تعامل مع المواد الكيميائية المنزلية بعناية.</w:t>
      </w:r>
    </w:p>
    <w:p w14:paraId="45A5B588" w14:textId="77777777" w:rsidR="00192F5C" w:rsidRPr="00A16095" w:rsidRDefault="00A16095">
      <w:pPr>
        <w:pStyle w:val="ListParagraph"/>
        <w:numPr>
          <w:ilvl w:val="0"/>
          <w:numId w:val="1"/>
        </w:numPr>
        <w:tabs>
          <w:tab w:val="left" w:pos="585"/>
          <w:tab w:val="left" w:pos="586"/>
        </w:tabs>
        <w:bidi/>
        <w:ind w:hanging="361"/>
        <w:rPr>
          <w:sz w:val="24"/>
        </w:rPr>
      </w:pPr>
      <w:r w:rsidRPr="00A16095">
        <w:rPr>
          <w:color w:val="2F2F2F"/>
          <w:sz w:val="24"/>
          <w:szCs w:val="24"/>
          <w:rtl/>
          <w:lang w:eastAsia="ar" w:bidi="ar-MA"/>
        </w:rPr>
        <w:t>احرص على إبعاد المواد عن الأطفال والحيوانات الأليفة.</w:t>
      </w:r>
    </w:p>
    <w:p w14:paraId="0131FF06" w14:textId="77777777" w:rsidR="00192F5C" w:rsidRPr="00A16095" w:rsidRDefault="00A16095">
      <w:pPr>
        <w:pStyle w:val="ListParagraph"/>
        <w:numPr>
          <w:ilvl w:val="0"/>
          <w:numId w:val="1"/>
        </w:numPr>
        <w:tabs>
          <w:tab w:val="left" w:pos="585"/>
          <w:tab w:val="left" w:pos="586"/>
        </w:tabs>
        <w:bidi/>
        <w:ind w:hanging="361"/>
        <w:rPr>
          <w:sz w:val="24"/>
        </w:rPr>
      </w:pPr>
      <w:r w:rsidRPr="00A16095">
        <w:rPr>
          <w:color w:val="2F2F2F"/>
          <w:sz w:val="24"/>
          <w:szCs w:val="24"/>
          <w:rtl/>
          <w:lang w:eastAsia="ar" w:bidi="ar-MA"/>
        </w:rPr>
        <w:t>إذا تسرب أحد العناصر، فضع الحاوية في دلو.</w:t>
      </w:r>
    </w:p>
    <w:p w14:paraId="761129C5" w14:textId="77777777" w:rsidR="00192F5C" w:rsidRPr="00A16095" w:rsidRDefault="00A16095">
      <w:pPr>
        <w:pStyle w:val="ListParagraph"/>
        <w:numPr>
          <w:ilvl w:val="0"/>
          <w:numId w:val="1"/>
        </w:numPr>
        <w:tabs>
          <w:tab w:val="left" w:pos="585"/>
          <w:tab w:val="left" w:pos="586"/>
        </w:tabs>
        <w:bidi/>
        <w:spacing w:before="60"/>
        <w:ind w:hanging="361"/>
        <w:rPr>
          <w:sz w:val="24"/>
        </w:rPr>
      </w:pPr>
      <w:r w:rsidRPr="00A16095">
        <w:rPr>
          <w:color w:val="2F2F2F"/>
          <w:sz w:val="24"/>
          <w:szCs w:val="24"/>
          <w:rtl/>
          <w:lang w:eastAsia="ar" w:bidi="ar-MA"/>
        </w:rPr>
        <w:t>لا تخلط المواد الكيميائية أو تصبها في البالوعة أو على الأرض.</w:t>
      </w:r>
    </w:p>
    <w:p w14:paraId="0B7C6B4C" w14:textId="77777777" w:rsidR="00192F5C" w:rsidRPr="00A16095" w:rsidRDefault="00192F5C">
      <w:pPr>
        <w:pStyle w:val="BodyText"/>
        <w:bidi/>
        <w:spacing w:before="0"/>
        <w:ind w:left="0"/>
        <w:rPr>
          <w:sz w:val="20"/>
        </w:rPr>
      </w:pPr>
    </w:p>
    <w:p w14:paraId="3F2D03DF" w14:textId="77777777" w:rsidR="00192F5C" w:rsidRPr="00A16095" w:rsidRDefault="00000000">
      <w:pPr>
        <w:pStyle w:val="BodyText"/>
        <w:bidi/>
        <w:spacing w:before="3"/>
        <w:ind w:left="0"/>
        <w:rPr>
          <w:sz w:val="11"/>
        </w:rPr>
      </w:pPr>
      <w:r>
        <w:rPr>
          <w:lang w:eastAsia="ar" w:bidi="ar-MA"/>
        </w:rPr>
        <w:pict w14:anchorId="016FF933">
          <v:rect id="_x0000_s2051" style="position:absolute;left:0;text-align:left;margin-left:34.55pt;margin-top:8.45pt;width:543.2pt;height:.5pt;z-index:-15728128;mso-wrap-distance-left:0;mso-wrap-distance-right:0;mso-position-horizontal-relative:page" fillcolor="#007935" stroked="f">
            <w10:wrap type="topAndBottom" anchorx="page"/>
          </v:rect>
        </w:pict>
      </w:r>
    </w:p>
    <w:p w14:paraId="5D46B70E" w14:textId="239D3AD5" w:rsidR="000279AF" w:rsidRPr="000279AF" w:rsidRDefault="00000000" w:rsidP="008E2E8B">
      <w:pPr>
        <w:pStyle w:val="Heading2"/>
        <w:bidi/>
        <w:spacing w:before="171"/>
        <w:ind w:left="1197" w:right="1418" w:firstLine="0"/>
        <w:jc w:val="center"/>
        <w:rPr>
          <w:rFonts w:ascii="Arial MT" w:hAnsi="Arial MT"/>
          <w:color w:val="007935"/>
          <w:sz w:val="8"/>
          <w:szCs w:val="2"/>
        </w:rPr>
      </w:pPr>
      <w:r>
        <w:rPr>
          <w:b w:val="0"/>
          <w:bCs w:val="0"/>
          <w:lang w:eastAsia="ar" w:bidi="ar-MA"/>
        </w:rPr>
        <w:pict w14:anchorId="3FB7C2AA">
          <v:rect id="_x0000_s2050" style="position:absolute;left:0;text-align:left;margin-left:34.55pt;margin-top:49.65pt;width:543.2pt;height:.5pt;z-index:-15727616;mso-wrap-distance-left:0;mso-wrap-distance-right:0;mso-position-horizontal-relative:page" fillcolor="#007935" stroked="f">
            <w10:wrap type="topAndBottom" anchorx="page"/>
          </v:rect>
        </w:pict>
      </w:r>
      <w:r w:rsidR="00A16095" w:rsidRPr="00A16095">
        <w:rPr>
          <w:color w:val="007935"/>
          <w:rtl/>
          <w:lang w:eastAsia="ar" w:bidi="ar-MA"/>
        </w:rPr>
        <w:t>إذا كانت لديك أسئلة، فيرجى الاتصال بإدارة الحفاظ على البيئة بولاية فيرمونت، برنامج التخلص من النفايات الصلبة على الرقم 1138-828-802.</w:t>
      </w:r>
    </w:p>
    <w:p w14:paraId="6D4ADF56" w14:textId="6F320E7A" w:rsidR="00192F5C" w:rsidRPr="000279AF" w:rsidRDefault="00192F5C" w:rsidP="000279AF">
      <w:pPr>
        <w:pStyle w:val="BodyText"/>
        <w:bidi/>
        <w:spacing w:before="10"/>
        <w:ind w:left="0"/>
        <w:rPr>
          <w:b/>
          <w:sz w:val="13"/>
        </w:rPr>
      </w:pPr>
    </w:p>
    <w:p w14:paraId="6C66DC8D" w14:textId="0B777DDC" w:rsidR="00192F5C" w:rsidRPr="00A16095" w:rsidRDefault="00A16095">
      <w:pPr>
        <w:bidi/>
        <w:spacing w:before="94" w:line="206" w:lineRule="exact"/>
        <w:ind w:left="140"/>
        <w:jc w:val="both"/>
        <w:rPr>
          <w:b/>
          <w:sz w:val="18"/>
        </w:rPr>
      </w:pPr>
      <w:r w:rsidRPr="00A16095">
        <w:rPr>
          <w:b/>
          <w:bCs/>
          <w:color w:val="2F2F2F"/>
          <w:sz w:val="18"/>
          <w:szCs w:val="18"/>
          <w:rtl/>
          <w:lang w:eastAsia="ar" w:bidi="ar-MA"/>
        </w:rPr>
        <w:t>إشعار عدم التمييز:</w:t>
      </w:r>
    </w:p>
    <w:p w14:paraId="4128063B" w14:textId="31F9A201" w:rsidR="00192F5C" w:rsidRPr="00A16095" w:rsidRDefault="00A16095">
      <w:pPr>
        <w:bidi/>
        <w:ind w:left="140" w:right="174"/>
        <w:jc w:val="both"/>
        <w:rPr>
          <w:sz w:val="18"/>
        </w:rPr>
      </w:pPr>
      <w:r w:rsidRPr="00A16095">
        <w:rPr>
          <w:color w:val="2F2F2F"/>
          <w:sz w:val="18"/>
          <w:szCs w:val="18"/>
          <w:rtl/>
          <w:lang w:eastAsia="ar" w:bidi="ar-MA"/>
        </w:rPr>
        <w:t>تدير وكالة فيرمونت للموارد الطبيعية (</w:t>
      </w:r>
      <w:r w:rsidRPr="00A16095">
        <w:rPr>
          <w:color w:val="2F2F2F"/>
          <w:sz w:val="18"/>
          <w:szCs w:val="18"/>
          <w:lang w:eastAsia="ar" w:bidi="en-US"/>
        </w:rPr>
        <w:t>ANR</w:t>
      </w:r>
      <w:r w:rsidRPr="00A16095">
        <w:rPr>
          <w:color w:val="2F2F2F"/>
          <w:sz w:val="18"/>
          <w:szCs w:val="18"/>
          <w:rtl/>
          <w:lang w:eastAsia="ar" w:bidi="ar-MA"/>
        </w:rPr>
        <w:t>) برامجها وخدماتها وأنشطتها دون تمييز على أساس العرق أو الدين أو العقيدة أو اللون أو الأصل القومي (بما في ذلك الأشخاص ممن لديهم قدرة محدودة على التحدث باللغة الإنجليزية) أو النسب أو محل الميلاد أو الإعاقة أو العمر أو الحالة الاجتماعية أو الجنس أو التوجه الجنسي أو الهوية الجنسية أو الرضاعة الطبيعية (الأم والطفل).</w:t>
      </w:r>
    </w:p>
    <w:p w14:paraId="3783ECC3" w14:textId="77777777" w:rsidR="00192F5C" w:rsidRPr="00A16095" w:rsidRDefault="00192F5C">
      <w:pPr>
        <w:pStyle w:val="BodyText"/>
        <w:bidi/>
        <w:spacing w:before="1"/>
        <w:ind w:left="0"/>
        <w:rPr>
          <w:sz w:val="18"/>
        </w:rPr>
      </w:pPr>
    </w:p>
    <w:p w14:paraId="5B1EBAD2" w14:textId="77777777" w:rsidR="00192F5C" w:rsidRPr="00A16095" w:rsidRDefault="00A16095">
      <w:pPr>
        <w:bidi/>
        <w:spacing w:line="206" w:lineRule="exact"/>
        <w:ind w:left="140"/>
        <w:jc w:val="both"/>
        <w:rPr>
          <w:b/>
          <w:sz w:val="18"/>
        </w:rPr>
      </w:pPr>
      <w:r w:rsidRPr="00A16095">
        <w:rPr>
          <w:b/>
          <w:bCs/>
          <w:color w:val="2F2F2F"/>
          <w:sz w:val="18"/>
          <w:szCs w:val="18"/>
          <w:rtl/>
          <w:lang w:eastAsia="ar" w:bidi="ar-MA"/>
        </w:rPr>
        <w:t>إشعار الوصول إلى اللغة:</w:t>
      </w:r>
    </w:p>
    <w:p w14:paraId="177501FC" w14:textId="07D75A9E" w:rsidR="00192F5C" w:rsidRDefault="008E2E8B" w:rsidP="000279AF">
      <w:pPr>
        <w:bidi/>
        <w:spacing w:line="203" w:lineRule="exact"/>
        <w:ind w:left="140"/>
        <w:rPr>
          <w:sz w:val="18"/>
        </w:rPr>
      </w:pPr>
      <w:r w:rsidRPr="00AC4125">
        <w:rPr>
          <w:rFonts w:cs="Myanmar Text"/>
          <w:noProof/>
          <w:sz w:val="16"/>
          <w:szCs w:val="16"/>
          <w:cs/>
          <w:lang w:bidi="my-MM"/>
        </w:rPr>
        <w:drawing>
          <wp:anchor distT="0" distB="0" distL="114300" distR="114300" simplePos="0" relativeHeight="251658240" behindDoc="1" locked="0" layoutInCell="1" allowOverlap="1" wp14:anchorId="06E9AD5F" wp14:editId="2B613355">
            <wp:simplePos x="0" y="0"/>
            <wp:positionH relativeFrom="column">
              <wp:posOffset>1115304</wp:posOffset>
            </wp:positionH>
            <wp:positionV relativeFrom="paragraph">
              <wp:posOffset>61399</wp:posOffset>
            </wp:positionV>
            <wp:extent cx="6070600" cy="1234440"/>
            <wp:effectExtent l="0" t="0" r="0" b="0"/>
            <wp:wrapNone/>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70600" cy="1234440"/>
                    </a:xfrm>
                    <a:prstGeom prst="rect">
                      <a:avLst/>
                    </a:prstGeom>
                  </pic:spPr>
                </pic:pic>
              </a:graphicData>
            </a:graphic>
          </wp:anchor>
        </w:drawing>
      </w:r>
    </w:p>
    <w:p w14:paraId="46AA2F44" w14:textId="46676696" w:rsidR="008E2E8B" w:rsidRPr="000279AF" w:rsidRDefault="008E2E8B" w:rsidP="008E2E8B">
      <w:pPr>
        <w:bidi/>
        <w:spacing w:line="203" w:lineRule="exact"/>
        <w:ind w:left="140"/>
        <w:rPr>
          <w:sz w:val="18"/>
        </w:rPr>
        <w:sectPr w:rsidR="008E2E8B" w:rsidRPr="000279AF" w:rsidSect="008E2E8B">
          <w:type w:val="continuous"/>
          <w:pgSz w:w="12240" w:h="15840"/>
          <w:pgMar w:top="640" w:right="540" w:bottom="1560" w:left="580" w:header="720" w:footer="720" w:gutter="0"/>
          <w:cols w:space="720"/>
        </w:sectPr>
      </w:pPr>
    </w:p>
    <w:p w14:paraId="6EFE2F5E" w14:textId="2C61D1D2" w:rsidR="00192F5C" w:rsidRPr="00A16095" w:rsidRDefault="00192F5C" w:rsidP="000279AF">
      <w:pPr>
        <w:bidi/>
        <w:ind w:left="64"/>
        <w:rPr>
          <w:sz w:val="19"/>
        </w:rPr>
      </w:pPr>
    </w:p>
    <w:sectPr w:rsidR="00192F5C" w:rsidRPr="00A16095">
      <w:type w:val="continuous"/>
      <w:pgSz w:w="12240" w:h="15840"/>
      <w:pgMar w:top="640" w:right="540" w:bottom="280" w:left="580" w:header="720" w:footer="720" w:gutter="0"/>
      <w:cols w:num="3" w:space="720" w:equalWidth="0">
        <w:col w:w="2702" w:space="40"/>
        <w:col w:w="440" w:space="39"/>
        <w:col w:w="78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1836" w14:textId="77777777" w:rsidR="00943098" w:rsidRDefault="00943098" w:rsidP="000279AF">
      <w:r>
        <w:separator/>
      </w:r>
    </w:p>
  </w:endnote>
  <w:endnote w:type="continuationSeparator" w:id="0">
    <w:p w14:paraId="0F875CAA" w14:textId="77777777" w:rsidR="00943098" w:rsidRDefault="00943098" w:rsidP="0002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Myanmar Text">
    <w:altName w:val="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0885" w14:textId="7A6D8D75" w:rsidR="000279AF" w:rsidRDefault="000279AF" w:rsidP="000279AF">
    <w:pPr>
      <w:pStyle w:val="BodyText"/>
      <w:bidi/>
      <w:spacing w:before="1"/>
      <w:ind w:left="140"/>
    </w:pPr>
    <w:r w:rsidRPr="00A16095">
      <w:rPr>
        <w:noProof/>
        <w:rtl/>
        <w:lang w:eastAsia="ar" w:bidi="ar-MA"/>
      </w:rPr>
      <w:drawing>
        <wp:anchor distT="0" distB="0" distL="0" distR="0" simplePos="0" relativeHeight="251659776" behindDoc="0" locked="0" layoutInCell="1" allowOverlap="1" wp14:anchorId="44306A3C" wp14:editId="4CAB55D8">
          <wp:simplePos x="0" y="0"/>
          <wp:positionH relativeFrom="page">
            <wp:posOffset>478888</wp:posOffset>
          </wp:positionH>
          <wp:positionV relativeFrom="paragraph">
            <wp:posOffset>-122702</wp:posOffset>
          </wp:positionV>
          <wp:extent cx="2117020" cy="443388"/>
          <wp:effectExtent l="0" t="0" r="0" b="0"/>
          <wp:wrapTopAndBottom/>
          <wp:docPr id="1199409883" name="Picture 1199409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17020" cy="443388"/>
                  </a:xfrm>
                  <a:prstGeom prst="rect">
                    <a:avLst/>
                  </a:prstGeom>
                </pic:spPr>
              </pic:pic>
            </a:graphicData>
          </a:graphic>
        </wp:anchor>
      </w:drawing>
    </w:r>
    <w:r w:rsidRPr="00A16095">
      <w:rPr>
        <w:color w:val="2F2F2F"/>
        <w:rtl/>
        <w:lang w:eastAsia="ar" w:bidi="ar-MA"/>
      </w:rPr>
      <w:t>تاريخ المراجعة: 7/13/2023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95A6" w14:textId="77777777" w:rsidR="00943098" w:rsidRDefault="00943098" w:rsidP="000279AF">
      <w:r>
        <w:separator/>
      </w:r>
    </w:p>
  </w:footnote>
  <w:footnote w:type="continuationSeparator" w:id="0">
    <w:p w14:paraId="0BA5B203" w14:textId="77777777" w:rsidR="00943098" w:rsidRDefault="00943098" w:rsidP="00027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51A"/>
    <w:multiLevelType w:val="hybridMultilevel"/>
    <w:tmpl w:val="1FC08EBE"/>
    <w:lvl w:ilvl="0" w:tplc="7AB03EB6">
      <w:numFmt w:val="bullet"/>
      <w:lvlText w:val=""/>
      <w:lvlJc w:val="left"/>
      <w:pPr>
        <w:ind w:left="585" w:hanging="360"/>
      </w:pPr>
      <w:rPr>
        <w:rFonts w:ascii="Wingdings" w:eastAsia="Wingdings" w:hAnsi="Wingdings" w:cs="Wingdings" w:hint="default"/>
        <w:color w:val="2F2F2F"/>
        <w:w w:val="100"/>
        <w:sz w:val="24"/>
        <w:szCs w:val="24"/>
        <w:lang w:val="en-US" w:eastAsia="en-US" w:bidi="ar-SA"/>
      </w:rPr>
    </w:lvl>
    <w:lvl w:ilvl="1" w:tplc="31562862">
      <w:numFmt w:val="bullet"/>
      <w:lvlText w:val="•"/>
      <w:lvlJc w:val="left"/>
      <w:pPr>
        <w:ind w:left="1634" w:hanging="360"/>
      </w:pPr>
      <w:rPr>
        <w:rFonts w:hint="default"/>
        <w:lang w:val="en-US" w:eastAsia="en-US" w:bidi="ar-SA"/>
      </w:rPr>
    </w:lvl>
    <w:lvl w:ilvl="2" w:tplc="A91E4EC4">
      <w:numFmt w:val="bullet"/>
      <w:lvlText w:val="•"/>
      <w:lvlJc w:val="left"/>
      <w:pPr>
        <w:ind w:left="2688" w:hanging="360"/>
      </w:pPr>
      <w:rPr>
        <w:rFonts w:hint="default"/>
        <w:lang w:val="en-US" w:eastAsia="en-US" w:bidi="ar-SA"/>
      </w:rPr>
    </w:lvl>
    <w:lvl w:ilvl="3" w:tplc="4030C0EC">
      <w:numFmt w:val="bullet"/>
      <w:lvlText w:val="•"/>
      <w:lvlJc w:val="left"/>
      <w:pPr>
        <w:ind w:left="3742" w:hanging="360"/>
      </w:pPr>
      <w:rPr>
        <w:rFonts w:hint="default"/>
        <w:lang w:val="en-US" w:eastAsia="en-US" w:bidi="ar-SA"/>
      </w:rPr>
    </w:lvl>
    <w:lvl w:ilvl="4" w:tplc="D85E40BC">
      <w:numFmt w:val="bullet"/>
      <w:lvlText w:val="•"/>
      <w:lvlJc w:val="left"/>
      <w:pPr>
        <w:ind w:left="4796" w:hanging="360"/>
      </w:pPr>
      <w:rPr>
        <w:rFonts w:hint="default"/>
        <w:lang w:val="en-US" w:eastAsia="en-US" w:bidi="ar-SA"/>
      </w:rPr>
    </w:lvl>
    <w:lvl w:ilvl="5" w:tplc="C14E6F7C">
      <w:numFmt w:val="bullet"/>
      <w:lvlText w:val="•"/>
      <w:lvlJc w:val="left"/>
      <w:pPr>
        <w:ind w:left="5850" w:hanging="360"/>
      </w:pPr>
      <w:rPr>
        <w:rFonts w:hint="default"/>
        <w:lang w:val="en-US" w:eastAsia="en-US" w:bidi="ar-SA"/>
      </w:rPr>
    </w:lvl>
    <w:lvl w:ilvl="6" w:tplc="75F81A82">
      <w:numFmt w:val="bullet"/>
      <w:lvlText w:val="•"/>
      <w:lvlJc w:val="left"/>
      <w:pPr>
        <w:ind w:left="6904" w:hanging="360"/>
      </w:pPr>
      <w:rPr>
        <w:rFonts w:hint="default"/>
        <w:lang w:val="en-US" w:eastAsia="en-US" w:bidi="ar-SA"/>
      </w:rPr>
    </w:lvl>
    <w:lvl w:ilvl="7" w:tplc="2F9E349E">
      <w:numFmt w:val="bullet"/>
      <w:lvlText w:val="•"/>
      <w:lvlJc w:val="left"/>
      <w:pPr>
        <w:ind w:left="7958" w:hanging="360"/>
      </w:pPr>
      <w:rPr>
        <w:rFonts w:hint="default"/>
        <w:lang w:val="en-US" w:eastAsia="en-US" w:bidi="ar-SA"/>
      </w:rPr>
    </w:lvl>
    <w:lvl w:ilvl="8" w:tplc="FF1A12CC">
      <w:numFmt w:val="bullet"/>
      <w:lvlText w:val="•"/>
      <w:lvlJc w:val="left"/>
      <w:pPr>
        <w:ind w:left="9012" w:hanging="360"/>
      </w:pPr>
      <w:rPr>
        <w:rFonts w:hint="default"/>
        <w:lang w:val="en-US" w:eastAsia="en-US" w:bidi="ar-SA"/>
      </w:rPr>
    </w:lvl>
  </w:abstractNum>
  <w:abstractNum w:abstractNumId="1" w15:restartNumberingAfterBreak="0">
    <w:nsid w:val="167E0FEE"/>
    <w:multiLevelType w:val="hybridMultilevel"/>
    <w:tmpl w:val="63BCBE9E"/>
    <w:lvl w:ilvl="0" w:tplc="580A0FE6">
      <w:start w:val="1"/>
      <w:numFmt w:val="bullet"/>
      <w:lvlText w:val=""/>
      <w:lvlJc w:val="left"/>
      <w:pPr>
        <w:ind w:left="585" w:hanging="290"/>
      </w:pPr>
      <w:rPr>
        <w:rFonts w:ascii="Wingdings" w:hAnsi="Wingdings" w:hint="default"/>
        <w:color w:val="2F2F2F"/>
        <w:w w:val="52"/>
        <w:sz w:val="20"/>
        <w:szCs w:val="20"/>
        <w:lang w:val="en-US" w:eastAsia="en-US" w:bidi="ar-SA"/>
      </w:rPr>
    </w:lvl>
    <w:lvl w:ilvl="1" w:tplc="8766C7BE">
      <w:numFmt w:val="bullet"/>
      <w:lvlText w:val="•"/>
      <w:lvlJc w:val="left"/>
      <w:pPr>
        <w:ind w:left="1035" w:hanging="290"/>
      </w:pPr>
      <w:rPr>
        <w:rFonts w:hint="default"/>
        <w:lang w:val="en-US" w:eastAsia="en-US" w:bidi="ar-SA"/>
      </w:rPr>
    </w:lvl>
    <w:lvl w:ilvl="2" w:tplc="5ACCCA26">
      <w:numFmt w:val="bullet"/>
      <w:lvlText w:val="•"/>
      <w:lvlJc w:val="left"/>
      <w:pPr>
        <w:ind w:left="1490" w:hanging="290"/>
      </w:pPr>
      <w:rPr>
        <w:rFonts w:hint="default"/>
        <w:lang w:val="en-US" w:eastAsia="en-US" w:bidi="ar-SA"/>
      </w:rPr>
    </w:lvl>
    <w:lvl w:ilvl="3" w:tplc="9E2EB71E">
      <w:numFmt w:val="bullet"/>
      <w:lvlText w:val="•"/>
      <w:lvlJc w:val="left"/>
      <w:pPr>
        <w:ind w:left="1945" w:hanging="290"/>
      </w:pPr>
      <w:rPr>
        <w:rFonts w:hint="default"/>
        <w:lang w:val="en-US" w:eastAsia="en-US" w:bidi="ar-SA"/>
      </w:rPr>
    </w:lvl>
    <w:lvl w:ilvl="4" w:tplc="A92EFBF6">
      <w:numFmt w:val="bullet"/>
      <w:lvlText w:val="•"/>
      <w:lvlJc w:val="left"/>
      <w:pPr>
        <w:ind w:left="2401" w:hanging="290"/>
      </w:pPr>
      <w:rPr>
        <w:rFonts w:hint="default"/>
        <w:lang w:val="en-US" w:eastAsia="en-US" w:bidi="ar-SA"/>
      </w:rPr>
    </w:lvl>
    <w:lvl w:ilvl="5" w:tplc="9B3485B4">
      <w:numFmt w:val="bullet"/>
      <w:lvlText w:val="•"/>
      <w:lvlJc w:val="left"/>
      <w:pPr>
        <w:ind w:left="2856" w:hanging="290"/>
      </w:pPr>
      <w:rPr>
        <w:rFonts w:hint="default"/>
        <w:lang w:val="en-US" w:eastAsia="en-US" w:bidi="ar-SA"/>
      </w:rPr>
    </w:lvl>
    <w:lvl w:ilvl="6" w:tplc="AAB0A098">
      <w:numFmt w:val="bullet"/>
      <w:lvlText w:val="•"/>
      <w:lvlJc w:val="left"/>
      <w:pPr>
        <w:ind w:left="3311" w:hanging="290"/>
      </w:pPr>
      <w:rPr>
        <w:rFonts w:hint="default"/>
        <w:lang w:val="en-US" w:eastAsia="en-US" w:bidi="ar-SA"/>
      </w:rPr>
    </w:lvl>
    <w:lvl w:ilvl="7" w:tplc="6A6AD8C0">
      <w:numFmt w:val="bullet"/>
      <w:lvlText w:val="•"/>
      <w:lvlJc w:val="left"/>
      <w:pPr>
        <w:ind w:left="3767" w:hanging="290"/>
      </w:pPr>
      <w:rPr>
        <w:rFonts w:hint="default"/>
        <w:lang w:val="en-US" w:eastAsia="en-US" w:bidi="ar-SA"/>
      </w:rPr>
    </w:lvl>
    <w:lvl w:ilvl="8" w:tplc="BE1E2484">
      <w:numFmt w:val="bullet"/>
      <w:lvlText w:val="•"/>
      <w:lvlJc w:val="left"/>
      <w:pPr>
        <w:ind w:left="4222" w:hanging="290"/>
      </w:pPr>
      <w:rPr>
        <w:rFonts w:hint="default"/>
        <w:lang w:val="en-US" w:eastAsia="en-US" w:bidi="ar-SA"/>
      </w:rPr>
    </w:lvl>
  </w:abstractNum>
  <w:abstractNum w:abstractNumId="2" w15:restartNumberingAfterBreak="0">
    <w:nsid w:val="66A10CBE"/>
    <w:multiLevelType w:val="multilevel"/>
    <w:tmpl w:val="63785BF6"/>
    <w:lvl w:ilvl="0">
      <w:start w:val="1"/>
      <w:numFmt w:val="bullet"/>
      <w:lvlText w:val=""/>
      <w:lvlJc w:val="left"/>
      <w:pPr>
        <w:ind w:left="585" w:hanging="290"/>
      </w:pPr>
      <w:rPr>
        <w:rFonts w:ascii="Wingdings" w:hAnsi="Wingdings" w:hint="default"/>
        <w:color w:val="2F2F2F"/>
        <w:w w:val="52"/>
        <w:sz w:val="20"/>
        <w:szCs w:val="20"/>
        <w:lang w:val="en-US" w:eastAsia="en-US" w:bidi="ar-SA"/>
      </w:rPr>
    </w:lvl>
    <w:lvl w:ilvl="1">
      <w:numFmt w:val="bullet"/>
      <w:lvlText w:val="•"/>
      <w:lvlJc w:val="left"/>
      <w:pPr>
        <w:ind w:left="1035" w:hanging="290"/>
      </w:pPr>
      <w:rPr>
        <w:rFonts w:hint="default"/>
        <w:lang w:val="en-US" w:eastAsia="en-US" w:bidi="ar-SA"/>
      </w:rPr>
    </w:lvl>
    <w:lvl w:ilvl="2">
      <w:numFmt w:val="bullet"/>
      <w:lvlText w:val="•"/>
      <w:lvlJc w:val="left"/>
      <w:pPr>
        <w:ind w:left="1490" w:hanging="290"/>
      </w:pPr>
      <w:rPr>
        <w:rFonts w:hint="default"/>
        <w:lang w:val="en-US" w:eastAsia="en-US" w:bidi="ar-SA"/>
      </w:rPr>
    </w:lvl>
    <w:lvl w:ilvl="3">
      <w:numFmt w:val="bullet"/>
      <w:lvlText w:val="•"/>
      <w:lvlJc w:val="left"/>
      <w:pPr>
        <w:ind w:left="1945" w:hanging="290"/>
      </w:pPr>
      <w:rPr>
        <w:rFonts w:hint="default"/>
        <w:lang w:val="en-US" w:eastAsia="en-US" w:bidi="ar-SA"/>
      </w:rPr>
    </w:lvl>
    <w:lvl w:ilvl="4">
      <w:numFmt w:val="bullet"/>
      <w:lvlText w:val="•"/>
      <w:lvlJc w:val="left"/>
      <w:pPr>
        <w:ind w:left="2401" w:hanging="290"/>
      </w:pPr>
      <w:rPr>
        <w:rFonts w:hint="default"/>
        <w:lang w:val="en-US" w:eastAsia="en-US" w:bidi="ar-SA"/>
      </w:rPr>
    </w:lvl>
    <w:lvl w:ilvl="5">
      <w:numFmt w:val="bullet"/>
      <w:lvlText w:val="•"/>
      <w:lvlJc w:val="left"/>
      <w:pPr>
        <w:ind w:left="2856" w:hanging="290"/>
      </w:pPr>
      <w:rPr>
        <w:rFonts w:hint="default"/>
        <w:lang w:val="en-US" w:eastAsia="en-US" w:bidi="ar-SA"/>
      </w:rPr>
    </w:lvl>
    <w:lvl w:ilvl="6">
      <w:numFmt w:val="bullet"/>
      <w:lvlText w:val="•"/>
      <w:lvlJc w:val="left"/>
      <w:pPr>
        <w:ind w:left="3311" w:hanging="290"/>
      </w:pPr>
      <w:rPr>
        <w:rFonts w:hint="default"/>
        <w:lang w:val="en-US" w:eastAsia="en-US" w:bidi="ar-SA"/>
      </w:rPr>
    </w:lvl>
    <w:lvl w:ilvl="7">
      <w:numFmt w:val="bullet"/>
      <w:lvlText w:val="•"/>
      <w:lvlJc w:val="left"/>
      <w:pPr>
        <w:ind w:left="3767" w:hanging="290"/>
      </w:pPr>
      <w:rPr>
        <w:rFonts w:hint="default"/>
        <w:lang w:val="en-US" w:eastAsia="en-US" w:bidi="ar-SA"/>
      </w:rPr>
    </w:lvl>
    <w:lvl w:ilvl="8">
      <w:numFmt w:val="bullet"/>
      <w:lvlText w:val="•"/>
      <w:lvlJc w:val="left"/>
      <w:pPr>
        <w:ind w:left="4222" w:hanging="290"/>
      </w:pPr>
      <w:rPr>
        <w:rFonts w:hint="default"/>
        <w:lang w:val="en-US" w:eastAsia="en-US" w:bidi="ar-SA"/>
      </w:rPr>
    </w:lvl>
  </w:abstractNum>
  <w:num w:numId="1" w16cid:durableId="779228607">
    <w:abstractNumId w:val="0"/>
  </w:num>
  <w:num w:numId="2" w16cid:durableId="1099178778">
    <w:abstractNumId w:val="1"/>
  </w:num>
  <w:num w:numId="3" w16cid:durableId="1934126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F5C"/>
    <w:rsid w:val="000279AF"/>
    <w:rsid w:val="000417A2"/>
    <w:rsid w:val="00192F5C"/>
    <w:rsid w:val="005E5615"/>
    <w:rsid w:val="00650DD9"/>
    <w:rsid w:val="00827408"/>
    <w:rsid w:val="008E2E8B"/>
    <w:rsid w:val="00943098"/>
    <w:rsid w:val="00A16095"/>
    <w:rsid w:val="00AC1410"/>
    <w:rsid w:val="00D06E27"/>
    <w:rsid w:val="00DE3150"/>
    <w:rsid w:val="00F65AD3"/>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6D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40"/>
      <w:jc w:val="both"/>
      <w:outlineLvl w:val="0"/>
    </w:pPr>
    <w:rPr>
      <w:rFonts w:ascii="Arial" w:eastAsia="Arial" w:hAnsi="Arial" w:cs="Arial"/>
      <w:b/>
      <w:bCs/>
      <w:sz w:val="28"/>
      <w:szCs w:val="28"/>
    </w:rPr>
  </w:style>
  <w:style w:type="paragraph" w:styleId="Heading2">
    <w:name w:val="heading 2"/>
    <w:basedOn w:val="Normal"/>
    <w:uiPriority w:val="9"/>
    <w:unhideWhenUsed/>
    <w:qFormat/>
    <w:pPr>
      <w:ind w:left="740" w:hanging="251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585"/>
    </w:pPr>
    <w:rPr>
      <w:sz w:val="24"/>
      <w:szCs w:val="24"/>
    </w:rPr>
  </w:style>
  <w:style w:type="paragraph" w:styleId="Title">
    <w:name w:val="Title"/>
    <w:basedOn w:val="Normal"/>
    <w:uiPriority w:val="10"/>
    <w:qFormat/>
    <w:pPr>
      <w:spacing w:before="83"/>
      <w:ind w:left="3009" w:right="3041"/>
      <w:jc w:val="center"/>
    </w:pPr>
    <w:rPr>
      <w:sz w:val="52"/>
      <w:szCs w:val="52"/>
    </w:rPr>
  </w:style>
  <w:style w:type="paragraph" w:styleId="ListParagraph">
    <w:name w:val="List Paragraph"/>
    <w:basedOn w:val="Normal"/>
    <w:uiPriority w:val="1"/>
    <w:qFormat/>
    <w:pPr>
      <w:spacing w:before="59"/>
      <w:ind w:left="585" w:hanging="2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79AF"/>
    <w:pPr>
      <w:tabs>
        <w:tab w:val="center" w:pos="4419"/>
        <w:tab w:val="right" w:pos="8838"/>
      </w:tabs>
    </w:pPr>
  </w:style>
  <w:style w:type="character" w:customStyle="1" w:styleId="HeaderChar">
    <w:name w:val="Header Char"/>
    <w:basedOn w:val="DefaultParagraphFont"/>
    <w:link w:val="Header"/>
    <w:uiPriority w:val="99"/>
    <w:rsid w:val="000279AF"/>
    <w:rPr>
      <w:rFonts w:ascii="Arial MT" w:eastAsia="Arial MT" w:hAnsi="Arial MT" w:cs="Arial MT"/>
    </w:rPr>
  </w:style>
  <w:style w:type="paragraph" w:styleId="Footer">
    <w:name w:val="footer"/>
    <w:basedOn w:val="Normal"/>
    <w:link w:val="FooterChar"/>
    <w:uiPriority w:val="99"/>
    <w:unhideWhenUsed/>
    <w:rsid w:val="000279AF"/>
    <w:pPr>
      <w:tabs>
        <w:tab w:val="center" w:pos="4419"/>
        <w:tab w:val="right" w:pos="8838"/>
      </w:tabs>
    </w:pPr>
  </w:style>
  <w:style w:type="character" w:customStyle="1" w:styleId="FooterChar">
    <w:name w:val="Footer Char"/>
    <w:basedOn w:val="DefaultParagraphFont"/>
    <w:link w:val="Footer"/>
    <w:uiPriority w:val="99"/>
    <w:rsid w:val="000279AF"/>
    <w:rPr>
      <w:rFonts w:ascii="Arial MT" w:eastAsia="Arial MT" w:hAnsi="Arial MT" w:cs="Arial MT"/>
    </w:rPr>
  </w:style>
  <w:style w:type="character" w:styleId="Hyperlink">
    <w:name w:val="Hyperlink"/>
    <w:basedOn w:val="DefaultParagraphFont"/>
    <w:uiPriority w:val="99"/>
    <w:unhideWhenUsed/>
    <w:rsid w:val="000279AF"/>
    <w:rPr>
      <w:color w:val="0000FF" w:themeColor="hyperlink"/>
      <w:u w:val="single"/>
    </w:rPr>
  </w:style>
  <w:style w:type="character" w:styleId="UnresolvedMention">
    <w:name w:val="Unresolved Mention"/>
    <w:basedOn w:val="DefaultParagraphFont"/>
    <w:uiPriority w:val="99"/>
    <w:semiHidden/>
    <w:unhideWhenUsed/>
    <w:rsid w:val="0002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802recycles.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8D08159E-C98F-4AC5-A65E-E522A3EB66DC}"/>
</file>

<file path=customXml/itemProps2.xml><?xml version="1.0" encoding="utf-8"?>
<ds:datastoreItem xmlns:ds="http://schemas.openxmlformats.org/officeDocument/2006/customXml" ds:itemID="{1F8D0012-CD39-4F93-BC24-D9DEC746EC29}"/>
</file>

<file path=customXml/itemProps3.xml><?xml version="1.0" encoding="utf-8"?>
<ds:datastoreItem xmlns:ds="http://schemas.openxmlformats.org/officeDocument/2006/customXml" ds:itemID="{0D57AAF6-01F5-4067-A254-5F086C7CBF22}"/>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2023-07-18T16:27:00Z</dcterms:created>
  <dcterms:modified xsi:type="dcterms:W3CDTF">2023-07-20T09:36:00Z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