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3ABA" w14:textId="77777777" w:rsidR="00192F5C" w:rsidRPr="00A416F2" w:rsidRDefault="00A16095">
      <w:pPr>
        <w:pStyle w:val="BodyText"/>
        <w:spacing w:before="80" w:line="275" w:lineRule="exact"/>
        <w:ind w:left="740"/>
        <w:rPr>
          <w:sz w:val="20"/>
          <w:szCs w:val="20"/>
        </w:rPr>
      </w:pPr>
      <w:r w:rsidRPr="00A416F2">
        <w:rPr>
          <w:noProof/>
          <w:sz w:val="20"/>
          <w:szCs w:val="20"/>
          <w:lang w:bidi="my-MM"/>
        </w:rPr>
        <w:drawing>
          <wp:anchor distT="0" distB="0" distL="0" distR="0" simplePos="0" relativeHeight="251656704" behindDoc="0" locked="0" layoutInCell="1" allowOverlap="1" wp14:anchorId="286C10ED" wp14:editId="54D21D9A">
            <wp:simplePos x="0" y="0"/>
            <wp:positionH relativeFrom="page">
              <wp:posOffset>457200</wp:posOffset>
            </wp:positionH>
            <wp:positionV relativeFrom="paragraph">
              <wp:posOffset>50505</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22" cy="365239"/>
                    </a:xfrm>
                    <a:prstGeom prst="rect">
                      <a:avLst/>
                    </a:prstGeom>
                  </pic:spPr>
                </pic:pic>
              </a:graphicData>
            </a:graphic>
          </wp:anchor>
        </w:drawing>
      </w:r>
      <w:r w:rsidRPr="00A416F2">
        <w:rPr>
          <w:color w:val="2F2F2F"/>
          <w:sz w:val="20"/>
          <w:szCs w:val="20"/>
          <w:lang w:bidi="my-MM"/>
        </w:rPr>
        <w:t>ဗားမောင့်ပြည်နယ်၊ သဘာဝရင်းမြစ် အေဂျင်စီ</w:t>
      </w:r>
    </w:p>
    <w:p w14:paraId="03E9CB1D" w14:textId="77777777" w:rsidR="00192F5C" w:rsidRPr="00A416F2" w:rsidRDefault="00A16095">
      <w:pPr>
        <w:pStyle w:val="Heading2"/>
        <w:spacing w:line="275" w:lineRule="exact"/>
        <w:ind w:firstLine="0"/>
        <w:rPr>
          <w:rFonts w:ascii="Arial MT" w:hAnsi="Arial MT"/>
          <w:sz w:val="20"/>
          <w:szCs w:val="20"/>
        </w:rPr>
      </w:pPr>
      <w:r w:rsidRPr="00A416F2">
        <w:rPr>
          <w:color w:val="2F2F2F"/>
          <w:sz w:val="20"/>
          <w:szCs w:val="20"/>
          <w:lang w:bidi="my-MM"/>
        </w:rPr>
        <w:t>ရေလွှမ်းမိုးမှုမှ ပြန်လည်ထူထောင်ရေးဆိုင်ရာ ရင်းမြစ်များ</w:t>
      </w:r>
    </w:p>
    <w:p w14:paraId="3B21CD56" w14:textId="77777777" w:rsidR="00192F5C" w:rsidRPr="00A63A48" w:rsidRDefault="00000000">
      <w:pPr>
        <w:pStyle w:val="BodyText"/>
        <w:spacing w:before="10"/>
        <w:ind w:left="0"/>
        <w:rPr>
          <w:b/>
          <w:sz w:val="18"/>
          <w:szCs w:val="22"/>
        </w:rPr>
      </w:pPr>
      <w:r w:rsidRPr="00A63A48">
        <w:rPr>
          <w:sz w:val="22"/>
          <w:szCs w:val="22"/>
          <w:lang w:bidi="my-MM"/>
        </w:rPr>
        <w:pict w14:anchorId="1BC67E0E">
          <v:shape id="_x0000_s2054" style="position:absolute;margin-left:36.05pt;margin-top:14pt;width:540.25pt;height:.5pt;z-index:-15728640;mso-wrap-distance-left:0;mso-wrap-distance-right:0;mso-position-horizontal-relative:page" coordorigin="721,280" coordsize="10805,10" o:spt="100" adj="0,,0" path="m11520,280l726,280r-5,l721,285r,5l726,290r10794,l11520,285r,-5xm11525,280r-5,l11520,285r,5l11525,290r,-5l11525,280xe" fillcolor="#9f9f9f" stroked="f">
            <v:stroke joinstyle="round"/>
            <v:formulas/>
            <v:path arrowok="t" o:connecttype="segments"/>
            <w10:wrap type="topAndBottom" anchorx="page"/>
          </v:shape>
        </w:pict>
      </w:r>
    </w:p>
    <w:p w14:paraId="1ACF1FC1" w14:textId="77777777" w:rsidR="00192F5C" w:rsidRPr="00A63A48" w:rsidRDefault="00192F5C">
      <w:pPr>
        <w:pStyle w:val="BodyText"/>
        <w:spacing w:before="9"/>
        <w:ind w:left="0"/>
        <w:rPr>
          <w:b/>
          <w:sz w:val="12"/>
          <w:szCs w:val="22"/>
        </w:rPr>
      </w:pPr>
    </w:p>
    <w:p w14:paraId="1701FBD8" w14:textId="77777777" w:rsidR="00192F5C" w:rsidRPr="00A416F2" w:rsidRDefault="00A16095">
      <w:pPr>
        <w:pStyle w:val="Title"/>
        <w:rPr>
          <w:sz w:val="28"/>
          <w:szCs w:val="28"/>
        </w:rPr>
      </w:pPr>
      <w:bookmarkStart w:id="0" w:name="Flood_Debris_Cleanup"/>
      <w:bookmarkEnd w:id="0"/>
      <w:r w:rsidRPr="00A416F2">
        <w:rPr>
          <w:color w:val="007940"/>
          <w:sz w:val="28"/>
          <w:szCs w:val="28"/>
          <w:lang w:bidi="my-MM"/>
        </w:rPr>
        <w:t>ရေလွှမ်းမိုးပြီး ပစ္စည်းအစအန ရှင်းလင်းရေး</w:t>
      </w:r>
    </w:p>
    <w:p w14:paraId="422740F2" w14:textId="1A24D7F2" w:rsidR="00192F5C" w:rsidRPr="00A416F2" w:rsidRDefault="00A16095">
      <w:pPr>
        <w:pStyle w:val="BodyText"/>
        <w:spacing w:before="145"/>
        <w:ind w:left="140" w:right="171"/>
        <w:jc w:val="both"/>
        <w:rPr>
          <w:sz w:val="14"/>
          <w:szCs w:val="14"/>
        </w:rPr>
      </w:pPr>
      <w:r w:rsidRPr="00A416F2">
        <w:rPr>
          <w:color w:val="2F2F2F"/>
          <w:sz w:val="14"/>
          <w:szCs w:val="14"/>
          <w:lang w:bidi="my-MM"/>
        </w:rPr>
        <w:t xml:space="preserve">ရေလွှမ်းမိုးမှု ဖြစ်စဉ်ပြီးနောက်တွင် ပစ္စည်းအစအန အများစုကို ဘူး/ပုံးတစ်ခုဖြင့် ထည့်သွင်းစွန့်ပစ်နိုင်သည်။ ရေလွှမ်းမိုးမှုကြောင့် ထိခိုက်ပျက်စီးခဲ့သည့် ပြန်သုံးနိုင်သော ပစ္စည်းများ သို့မဟုတ် အစားအစာထွက် စွန့်ပစ်ပစ္စည်းများကို အမှိုက်နှင့်အတူ လွှင့်ပစ်နိုင်သည်။ ရေလွှမ်းမိုးမှုကြောင့် ထိခိုက်နေသည့် မြေအောက်ခန်းနှင့် အိမ်များမှ သုတ်ဆေး၊ ဓာတုပစ္စည်း၊ ဆီ၊ ဓာတ်ငွေ့၊ ပိုးသတ်ဆေးနှင့် အခြားဘေးအန္တရာယ်ပေး ပစ္စည်းများကို ရှင်းလင်းရာတွင် အထူးသတိထားရန်လိုသည်။ အစိုင်အခဲအညစ်အကြေး သန့်ရှင်းရေး အလုပ်သမားများနှင့် သဘာဝပတ်ဝန်းကျင်ကို ကာကွယ်ရန်အတွက် နေထိုင်သူများ၊ စီးပွားရေးလုပ်ငန်းများ၊ ကန်ထရိုက်တာများနှင့် သန့်ရှင်းရေးသမားများသည် အဆိုပါ အန္တရာယ်ရှိသော </w:t>
      </w:r>
      <w:r w:rsidRPr="00A416F2">
        <w:rPr>
          <w:color w:val="2F2F2F"/>
          <w:sz w:val="14"/>
          <w:szCs w:val="14"/>
          <w:u w:val="single"/>
          <w:lang w:bidi="my-MM"/>
        </w:rPr>
        <w:t>အရာများကို အခြားသော အမှိုက်များမှ ခွဲထုတ်ထားရန်</w:t>
      </w:r>
      <w:r w:rsidRPr="00A416F2">
        <w:rPr>
          <w:color w:val="2F2F2F"/>
          <w:sz w:val="14"/>
          <w:szCs w:val="14"/>
          <w:lang w:bidi="my-MM"/>
        </w:rPr>
        <w:t xml:space="preserve"> အရေးကြီးပါသည်။</w:t>
      </w:r>
    </w:p>
    <w:p w14:paraId="76F35595" w14:textId="77777777" w:rsidR="00192F5C" w:rsidRPr="00A416F2" w:rsidRDefault="00192F5C">
      <w:pPr>
        <w:pStyle w:val="BodyText"/>
        <w:spacing w:before="2"/>
        <w:ind w:left="0"/>
        <w:rPr>
          <w:sz w:val="14"/>
          <w:szCs w:val="14"/>
        </w:rPr>
      </w:pPr>
    </w:p>
    <w:p w14:paraId="702734E1" w14:textId="77777777" w:rsidR="00192F5C" w:rsidRPr="00A416F2" w:rsidRDefault="00A16095">
      <w:pPr>
        <w:pStyle w:val="Heading1"/>
        <w:rPr>
          <w:rFonts w:ascii="Arial MT" w:hAnsi="Arial MT"/>
          <w:sz w:val="16"/>
          <w:szCs w:val="16"/>
        </w:rPr>
      </w:pPr>
      <w:r w:rsidRPr="00A416F2">
        <w:rPr>
          <w:sz w:val="16"/>
          <w:szCs w:val="16"/>
          <w:lang w:bidi="my-MM"/>
        </w:rPr>
        <w:t>ဤပစ္စည်းများကို အခြားအမှိုက်များမှ ခွဲထားပါ -</w:t>
      </w:r>
    </w:p>
    <w:p w14:paraId="2B249067" w14:textId="77777777" w:rsidR="00192F5C" w:rsidRPr="00A416F2" w:rsidRDefault="00192F5C">
      <w:pPr>
        <w:rPr>
          <w:rFonts w:cs="Myanmar Text"/>
          <w:sz w:val="12"/>
          <w:szCs w:val="12"/>
          <w:cs/>
          <w:lang w:bidi="my-MM"/>
        </w:rPr>
        <w:sectPr w:rsidR="00192F5C" w:rsidRPr="00A416F2">
          <w:footerReference w:type="default" r:id="rId8"/>
          <w:type w:val="continuous"/>
          <w:pgSz w:w="12240" w:h="15840"/>
          <w:pgMar w:top="640" w:right="540" w:bottom="280" w:left="580" w:header="720" w:footer="720" w:gutter="0"/>
          <w:cols w:space="720"/>
        </w:sectPr>
      </w:pPr>
    </w:p>
    <w:p w14:paraId="34C49237" w14:textId="77777777" w:rsidR="00192F5C" w:rsidRPr="00A416F2" w:rsidRDefault="00A16095">
      <w:pPr>
        <w:pStyle w:val="ListParagraph"/>
        <w:numPr>
          <w:ilvl w:val="0"/>
          <w:numId w:val="2"/>
        </w:numPr>
        <w:tabs>
          <w:tab w:val="left" w:pos="586"/>
        </w:tabs>
        <w:spacing w:before="121"/>
        <w:ind w:right="101"/>
        <w:rPr>
          <w:sz w:val="14"/>
          <w:szCs w:val="12"/>
        </w:rPr>
      </w:pPr>
      <w:r w:rsidRPr="00A416F2">
        <w:rPr>
          <w:color w:val="2F2F2F"/>
          <w:sz w:val="14"/>
          <w:szCs w:val="14"/>
          <w:lang w:bidi="my-MM"/>
        </w:rPr>
        <w:t>အဆိပ်အတောက်များ၊ ပိုးသတ်ဆေးများ၊ ပေါက်ကွဲပစ္စည်းများ၊ ဓာတ်ဆီ၊ ဆီ၊ ရေကန်ဆေးဓာတုပစ္စည်းများ၊ အက်စစ်များ၊ ရေမြောင်းဆေး ဆေးရည်များ၊ မီးရှူးမီးပန်းများ၊ မီးကျည်များ၊ ခဲယမ်းနှင့် ဖုံးကာမထားသည့် “အချွန်အတက်များ” ကဲ့သို့သော အန္တရာယ်ရှိ စွန့်ပစ်ပစ္စည်းများ။</w:t>
      </w:r>
    </w:p>
    <w:p w14:paraId="742A16CD" w14:textId="77777777" w:rsidR="00192F5C" w:rsidRPr="00A416F2" w:rsidRDefault="00A16095">
      <w:pPr>
        <w:pStyle w:val="ListParagraph"/>
        <w:numPr>
          <w:ilvl w:val="0"/>
          <w:numId w:val="2"/>
        </w:numPr>
        <w:tabs>
          <w:tab w:val="left" w:pos="586"/>
        </w:tabs>
        <w:spacing w:before="121"/>
        <w:ind w:hanging="291"/>
        <w:rPr>
          <w:sz w:val="14"/>
          <w:szCs w:val="12"/>
        </w:rPr>
      </w:pPr>
      <w:r w:rsidRPr="00A416F2">
        <w:rPr>
          <w:color w:val="2F2F2F"/>
          <w:sz w:val="14"/>
          <w:szCs w:val="14"/>
          <w:lang w:bidi="my-MM"/>
        </w:rPr>
        <w:t>ဆီ၊ ဘရိတ် သန့်ရှင်းရေးပစ္စည်း၊ အခြားအဆိပ်အတောက်ဖြစ်စေသည့် ကားသုံးထုတ်ကုန်များ</w:t>
      </w:r>
    </w:p>
    <w:p w14:paraId="0DB9B9FA" w14:textId="77777777" w:rsidR="00192F5C" w:rsidRPr="00A416F2" w:rsidRDefault="00A16095">
      <w:pPr>
        <w:pStyle w:val="ListParagraph"/>
        <w:numPr>
          <w:ilvl w:val="0"/>
          <w:numId w:val="2"/>
        </w:numPr>
        <w:tabs>
          <w:tab w:val="left" w:pos="586"/>
        </w:tabs>
        <w:spacing w:before="119"/>
        <w:ind w:hanging="291"/>
        <w:rPr>
          <w:sz w:val="14"/>
          <w:szCs w:val="12"/>
        </w:rPr>
      </w:pPr>
      <w:r w:rsidRPr="00A416F2">
        <w:rPr>
          <w:color w:val="2F2F2F"/>
          <w:sz w:val="14"/>
          <w:szCs w:val="14"/>
          <w:lang w:bidi="my-MM"/>
        </w:rPr>
        <w:t>သုတ်ဆေး၊ အစွန်း၊ အရောင်တင်ဆီ၊ သုတ်ဆေး သင်နာ/ချွတ်ဆေး</w:t>
      </w:r>
    </w:p>
    <w:p w14:paraId="292056E8" w14:textId="77777777" w:rsidR="00192F5C" w:rsidRPr="00A416F2" w:rsidRDefault="00A16095">
      <w:pPr>
        <w:pStyle w:val="ListParagraph"/>
        <w:numPr>
          <w:ilvl w:val="0"/>
          <w:numId w:val="2"/>
        </w:numPr>
        <w:tabs>
          <w:tab w:val="left" w:pos="586"/>
        </w:tabs>
        <w:spacing w:before="119"/>
        <w:ind w:hanging="291"/>
        <w:rPr>
          <w:sz w:val="14"/>
          <w:szCs w:val="12"/>
        </w:rPr>
      </w:pPr>
      <w:r w:rsidRPr="00A416F2">
        <w:rPr>
          <w:color w:val="2F2F2F"/>
          <w:sz w:val="14"/>
          <w:szCs w:val="14"/>
          <w:lang w:bidi="my-MM"/>
        </w:rPr>
        <w:t>ပရိုပိန်းဘူးများ၊ အခြားဓာတ်ငွေ့ဘူးများ</w:t>
      </w:r>
    </w:p>
    <w:p w14:paraId="58B2C6C4" w14:textId="77777777" w:rsidR="00192F5C" w:rsidRPr="00A416F2" w:rsidRDefault="00A16095">
      <w:pPr>
        <w:pStyle w:val="ListParagraph"/>
        <w:numPr>
          <w:ilvl w:val="0"/>
          <w:numId w:val="2"/>
        </w:numPr>
        <w:tabs>
          <w:tab w:val="left" w:pos="586"/>
        </w:tabs>
        <w:spacing w:before="120"/>
        <w:ind w:hanging="291"/>
        <w:rPr>
          <w:sz w:val="14"/>
          <w:szCs w:val="12"/>
        </w:rPr>
      </w:pPr>
      <w:r w:rsidRPr="00A416F2">
        <w:rPr>
          <w:color w:val="2F2F2F"/>
          <w:sz w:val="14"/>
          <w:szCs w:val="14"/>
          <w:lang w:bidi="my-MM"/>
        </w:rPr>
        <w:t>ဘေးအန္တရာယ်ရှိသော စွန့်ပစ်ပစ္စည်းများ</w:t>
      </w:r>
    </w:p>
    <w:p w14:paraId="5D8027CA" w14:textId="77777777" w:rsidR="00192F5C" w:rsidRPr="00A416F2" w:rsidRDefault="00A16095">
      <w:pPr>
        <w:pStyle w:val="ListParagraph"/>
        <w:numPr>
          <w:ilvl w:val="0"/>
          <w:numId w:val="2"/>
        </w:numPr>
        <w:tabs>
          <w:tab w:val="left" w:pos="586"/>
        </w:tabs>
        <w:spacing w:before="181"/>
        <w:ind w:hanging="291"/>
        <w:rPr>
          <w:sz w:val="14"/>
          <w:szCs w:val="12"/>
        </w:rPr>
      </w:pPr>
      <w:r w:rsidRPr="00A416F2">
        <w:rPr>
          <w:color w:val="2F2F2F"/>
          <w:sz w:val="14"/>
          <w:szCs w:val="14"/>
          <w:lang w:bidi="my-MM"/>
        </w:rPr>
        <w:br w:type="column"/>
      </w:r>
      <w:r w:rsidRPr="00A416F2">
        <w:rPr>
          <w:color w:val="2F2F2F"/>
          <w:sz w:val="14"/>
          <w:szCs w:val="14"/>
          <w:lang w:bidi="my-MM"/>
        </w:rPr>
        <w:t>ဘက်ထရီများ</w:t>
      </w:r>
    </w:p>
    <w:p w14:paraId="18836161" w14:textId="77777777" w:rsidR="00192F5C" w:rsidRPr="00A416F2" w:rsidRDefault="00A16095">
      <w:pPr>
        <w:pStyle w:val="ListParagraph"/>
        <w:numPr>
          <w:ilvl w:val="0"/>
          <w:numId w:val="2"/>
        </w:numPr>
        <w:tabs>
          <w:tab w:val="left" w:pos="586"/>
        </w:tabs>
        <w:ind w:hanging="291"/>
        <w:rPr>
          <w:sz w:val="14"/>
          <w:szCs w:val="12"/>
        </w:rPr>
      </w:pPr>
      <w:r w:rsidRPr="00A416F2">
        <w:rPr>
          <w:color w:val="2F2F2F"/>
          <w:sz w:val="14"/>
          <w:szCs w:val="14"/>
          <w:lang w:bidi="my-MM"/>
        </w:rPr>
        <w:t>အီလက်ထရောနစ်ပစ္စည်းများ</w:t>
      </w:r>
    </w:p>
    <w:p w14:paraId="033B766C" w14:textId="77777777" w:rsidR="00192F5C" w:rsidRPr="00A416F2" w:rsidRDefault="00A16095">
      <w:pPr>
        <w:pStyle w:val="ListParagraph"/>
        <w:numPr>
          <w:ilvl w:val="0"/>
          <w:numId w:val="2"/>
        </w:numPr>
        <w:tabs>
          <w:tab w:val="left" w:pos="586"/>
        </w:tabs>
        <w:ind w:right="724"/>
        <w:rPr>
          <w:sz w:val="14"/>
          <w:szCs w:val="12"/>
        </w:rPr>
      </w:pPr>
      <w:r w:rsidRPr="00A416F2">
        <w:rPr>
          <w:color w:val="2F2F2F"/>
          <w:sz w:val="14"/>
          <w:szCs w:val="14"/>
          <w:lang w:bidi="my-MM"/>
        </w:rPr>
        <w:t>မီးလုံးဖြူများ၊ သာမိုစတက်များနှင့် သာမိုမီတာများကဲ့သို့ မာကျူရီပါသည့် ထုတ်ကုန်များ</w:t>
      </w:r>
    </w:p>
    <w:p w14:paraId="1B3AB8D8" w14:textId="77777777" w:rsidR="00192F5C" w:rsidRPr="00A416F2" w:rsidRDefault="00A16095">
      <w:pPr>
        <w:pStyle w:val="ListParagraph"/>
        <w:numPr>
          <w:ilvl w:val="0"/>
          <w:numId w:val="2"/>
        </w:numPr>
        <w:tabs>
          <w:tab w:val="left" w:pos="586"/>
        </w:tabs>
        <w:spacing w:before="63"/>
        <w:ind w:hanging="291"/>
        <w:rPr>
          <w:sz w:val="14"/>
          <w:szCs w:val="12"/>
        </w:rPr>
      </w:pPr>
      <w:r w:rsidRPr="00A416F2">
        <w:rPr>
          <w:color w:val="2F2F2F"/>
          <w:sz w:val="14"/>
          <w:szCs w:val="14"/>
          <w:lang w:bidi="my-MM"/>
        </w:rPr>
        <w:t>တာယာများ</w:t>
      </w:r>
    </w:p>
    <w:p w14:paraId="36D2055F" w14:textId="77777777" w:rsidR="00192F5C" w:rsidRPr="00A416F2" w:rsidRDefault="00A16095">
      <w:pPr>
        <w:pStyle w:val="ListParagraph"/>
        <w:numPr>
          <w:ilvl w:val="0"/>
          <w:numId w:val="2"/>
        </w:numPr>
        <w:tabs>
          <w:tab w:val="left" w:pos="586"/>
        </w:tabs>
        <w:ind w:right="311"/>
        <w:rPr>
          <w:sz w:val="14"/>
          <w:szCs w:val="12"/>
        </w:rPr>
      </w:pPr>
      <w:r w:rsidRPr="00A416F2">
        <w:rPr>
          <w:color w:val="2F2F2F"/>
          <w:sz w:val="14"/>
          <w:szCs w:val="14"/>
          <w:lang w:bidi="my-MM"/>
        </w:rPr>
        <w:t>သံကြမ်းထည်နှင့် ရေခဲသေတ္တာများ၊ ရေခဲပုံးများ၊ မီးဖိုများ၊ ပန်းကန်ဆေးစက်၊ အဝတ်လျှော်စက်များ၊ အခြောက်ခံစက်များ ကဲ့သို့သော အိမ်တွင်းအသုံးအဆောင်ကြီးများ</w:t>
      </w:r>
    </w:p>
    <w:p w14:paraId="3224E242" w14:textId="77777777" w:rsidR="00192F5C" w:rsidRPr="00A416F2" w:rsidRDefault="00192F5C">
      <w:pPr>
        <w:rPr>
          <w:rFonts w:cs="Myanmar Text"/>
          <w:sz w:val="14"/>
          <w:szCs w:val="12"/>
          <w:cs/>
          <w:lang w:bidi="my-MM"/>
        </w:rPr>
        <w:sectPr w:rsidR="00192F5C" w:rsidRPr="00A416F2">
          <w:type w:val="continuous"/>
          <w:pgSz w:w="12240" w:h="15840"/>
          <w:pgMar w:top="640" w:right="540" w:bottom="280" w:left="580" w:header="720" w:footer="720" w:gutter="0"/>
          <w:cols w:num="2" w:space="720" w:equalWidth="0">
            <w:col w:w="5133" w:space="629"/>
            <w:col w:w="5358"/>
          </w:cols>
        </w:sectPr>
      </w:pPr>
    </w:p>
    <w:p w14:paraId="4C08C229" w14:textId="77777777" w:rsidR="00192F5C" w:rsidRPr="00A416F2" w:rsidRDefault="00192F5C">
      <w:pPr>
        <w:pStyle w:val="BodyText"/>
        <w:spacing w:before="2"/>
        <w:ind w:left="0"/>
        <w:rPr>
          <w:sz w:val="4"/>
          <w:szCs w:val="14"/>
        </w:rPr>
      </w:pPr>
    </w:p>
    <w:p w14:paraId="070D83FA" w14:textId="52F6E307" w:rsidR="00192F5C" w:rsidRPr="00A416F2" w:rsidRDefault="00A16095">
      <w:pPr>
        <w:pStyle w:val="BodyText"/>
        <w:spacing w:before="93"/>
        <w:ind w:left="140" w:right="172"/>
        <w:jc w:val="both"/>
        <w:rPr>
          <w:sz w:val="14"/>
          <w:szCs w:val="14"/>
        </w:rPr>
      </w:pPr>
      <w:r w:rsidRPr="00A416F2">
        <w:rPr>
          <w:color w:val="2F2F2F"/>
          <w:sz w:val="14"/>
          <w:szCs w:val="14"/>
          <w:lang w:bidi="my-MM"/>
        </w:rPr>
        <w:t xml:space="preserve">အစိုင်အခဲ အညစ်အကြေး စီမံခန့်ခွဲရေး အဖွဲ့အစည်းများ (SWME) မှ ဘေးအန္တရာယ်ပေး အိမ်ထွက်အညစ်အကြေး သိမ်းဆည်းသည့် ဝန်ဆောင်မှုများ ရနိုင်သည်။ သင့် SWME သို့ </w:t>
      </w:r>
      <w:hyperlink r:id="rId9" w:history="1">
        <w:r w:rsidR="000279AF" w:rsidRPr="00A416F2">
          <w:rPr>
            <w:rStyle w:val="Hyperlink"/>
            <w:color w:val="4F81BD" w:themeColor="accent1"/>
            <w:sz w:val="14"/>
            <w:szCs w:val="14"/>
            <w:lang w:bidi="my-MM"/>
          </w:rPr>
          <w:t>802recycles.com</w:t>
        </w:r>
      </w:hyperlink>
      <w:r w:rsidRPr="00A416F2">
        <w:rPr>
          <w:color w:val="2F2F2F"/>
          <w:sz w:val="14"/>
          <w:szCs w:val="14"/>
          <w:lang w:bidi="my-MM"/>
        </w:rPr>
        <w:t xml:space="preserve"> မှတစ်ဆင့် ဆက်သွယ်၍ ဆက်လက်လေ့လာနိုင်ပြီး ဤပစ္စည်းများမှ အချို့ကို သင့်ဒေသခံ လွှဲပြောင်းရေးစင်တာမှ လက်ခံနိုင်ပါသည်။</w:t>
      </w:r>
    </w:p>
    <w:p w14:paraId="2C8CC292" w14:textId="77777777" w:rsidR="00192F5C" w:rsidRPr="00A416F2" w:rsidRDefault="00192F5C">
      <w:pPr>
        <w:pStyle w:val="BodyText"/>
        <w:spacing w:before="10"/>
        <w:ind w:left="0"/>
        <w:rPr>
          <w:sz w:val="14"/>
          <w:szCs w:val="14"/>
        </w:rPr>
      </w:pPr>
    </w:p>
    <w:p w14:paraId="2F113016" w14:textId="77777777" w:rsidR="00192F5C" w:rsidRPr="00A416F2" w:rsidRDefault="00A16095">
      <w:pPr>
        <w:pStyle w:val="Heading1"/>
        <w:rPr>
          <w:rFonts w:ascii="Arial MT" w:hAnsi="Arial MT"/>
          <w:sz w:val="16"/>
          <w:szCs w:val="16"/>
        </w:rPr>
      </w:pPr>
      <w:r w:rsidRPr="00A416F2">
        <w:rPr>
          <w:sz w:val="16"/>
          <w:szCs w:val="16"/>
          <w:lang w:bidi="my-MM"/>
        </w:rPr>
        <w:t>အခြားအကြံပြုချက်များ-</w:t>
      </w:r>
    </w:p>
    <w:p w14:paraId="416E75B0" w14:textId="77777777" w:rsidR="00192F5C" w:rsidRPr="00A416F2" w:rsidRDefault="00A16095">
      <w:pPr>
        <w:pStyle w:val="ListParagraph"/>
        <w:numPr>
          <w:ilvl w:val="0"/>
          <w:numId w:val="1"/>
        </w:numPr>
        <w:tabs>
          <w:tab w:val="left" w:pos="585"/>
          <w:tab w:val="left" w:pos="586"/>
        </w:tabs>
        <w:spacing w:before="121"/>
        <w:ind w:hanging="361"/>
        <w:rPr>
          <w:sz w:val="14"/>
          <w:szCs w:val="12"/>
        </w:rPr>
      </w:pPr>
      <w:r w:rsidRPr="00A416F2">
        <w:rPr>
          <w:color w:val="2F2F2F"/>
          <w:sz w:val="14"/>
          <w:szCs w:val="14"/>
          <w:lang w:bidi="my-MM"/>
        </w:rPr>
        <w:t>ဘေးကင်းပါစေ။ လက်အိတ်များနှင့် မျက်လုံးအကာတို့ကို အသုံးပြုပါ။ အိမ်သုံး ဓာတုပစ္စည်းများကို ဂရုစိုက် ကိုင်တွယ်ပါ။</w:t>
      </w:r>
    </w:p>
    <w:p w14:paraId="45A5B588" w14:textId="77777777" w:rsidR="00192F5C" w:rsidRPr="00A416F2" w:rsidRDefault="00A16095">
      <w:pPr>
        <w:pStyle w:val="ListParagraph"/>
        <w:numPr>
          <w:ilvl w:val="0"/>
          <w:numId w:val="1"/>
        </w:numPr>
        <w:tabs>
          <w:tab w:val="left" w:pos="585"/>
          <w:tab w:val="left" w:pos="586"/>
        </w:tabs>
        <w:ind w:hanging="361"/>
        <w:rPr>
          <w:sz w:val="14"/>
          <w:szCs w:val="12"/>
        </w:rPr>
      </w:pPr>
      <w:r w:rsidRPr="00A416F2">
        <w:rPr>
          <w:color w:val="2F2F2F"/>
          <w:sz w:val="14"/>
          <w:szCs w:val="14"/>
          <w:lang w:bidi="my-MM"/>
        </w:rPr>
        <w:t>ပစ္စည်းများကို ကလေးသူငယ်နှင့် အိမ်မွေးတိရိစ္ဆာန်များ၏ ဝေးရာတွင် ထားပါ။</w:t>
      </w:r>
    </w:p>
    <w:p w14:paraId="0131FF06" w14:textId="77777777" w:rsidR="00192F5C" w:rsidRPr="00A416F2" w:rsidRDefault="00A16095">
      <w:pPr>
        <w:pStyle w:val="ListParagraph"/>
        <w:numPr>
          <w:ilvl w:val="0"/>
          <w:numId w:val="1"/>
        </w:numPr>
        <w:tabs>
          <w:tab w:val="left" w:pos="585"/>
          <w:tab w:val="left" w:pos="586"/>
        </w:tabs>
        <w:ind w:hanging="361"/>
        <w:rPr>
          <w:sz w:val="14"/>
          <w:szCs w:val="12"/>
        </w:rPr>
      </w:pPr>
      <w:r w:rsidRPr="00A416F2">
        <w:rPr>
          <w:color w:val="2F2F2F"/>
          <w:sz w:val="14"/>
          <w:szCs w:val="14"/>
          <w:lang w:bidi="my-MM"/>
        </w:rPr>
        <w:t>ပစ္စည်းတစ်ခုမှ အရည်ယိုစိမ့်နေသည် ထိုပုံးကို ရေပုံးတစ်ခုတွင် ထည့်သွင်းပါ။</w:t>
      </w:r>
    </w:p>
    <w:p w14:paraId="761129C5" w14:textId="77777777" w:rsidR="00192F5C" w:rsidRPr="00A416F2" w:rsidRDefault="00A16095">
      <w:pPr>
        <w:pStyle w:val="ListParagraph"/>
        <w:numPr>
          <w:ilvl w:val="0"/>
          <w:numId w:val="1"/>
        </w:numPr>
        <w:tabs>
          <w:tab w:val="left" w:pos="585"/>
          <w:tab w:val="left" w:pos="586"/>
        </w:tabs>
        <w:spacing w:before="60"/>
        <w:ind w:hanging="361"/>
        <w:rPr>
          <w:sz w:val="14"/>
          <w:szCs w:val="12"/>
        </w:rPr>
      </w:pPr>
      <w:r w:rsidRPr="00A416F2">
        <w:rPr>
          <w:color w:val="2F2F2F"/>
          <w:sz w:val="14"/>
          <w:szCs w:val="14"/>
          <w:lang w:bidi="my-MM"/>
        </w:rPr>
        <w:t>ဓာတုပစ္စည်းများကို ရောနှောခြင်း သို့မဟုတ် ရေမြောင်းမှလောင်းချခြင်း သို့မဟုတ် မြေပြင်ပေါ်လောင်းချခြင်းများ မလုပ်ပါနှင့်။</w:t>
      </w:r>
    </w:p>
    <w:p w14:paraId="0B7C6B4C" w14:textId="77777777" w:rsidR="00192F5C" w:rsidRPr="00A63A48" w:rsidRDefault="00192F5C">
      <w:pPr>
        <w:pStyle w:val="BodyText"/>
        <w:spacing w:before="0"/>
        <w:ind w:left="0"/>
        <w:rPr>
          <w:sz w:val="18"/>
          <w:szCs w:val="22"/>
        </w:rPr>
      </w:pPr>
    </w:p>
    <w:p w14:paraId="3F2D03DF" w14:textId="77777777" w:rsidR="00192F5C" w:rsidRPr="00A63A48" w:rsidRDefault="00000000">
      <w:pPr>
        <w:pStyle w:val="BodyText"/>
        <w:spacing w:before="3"/>
        <w:ind w:left="0"/>
        <w:rPr>
          <w:sz w:val="9"/>
          <w:szCs w:val="22"/>
        </w:rPr>
      </w:pPr>
      <w:r w:rsidRPr="00A63A48">
        <w:rPr>
          <w:sz w:val="22"/>
          <w:szCs w:val="22"/>
          <w:lang w:bidi="my-MM"/>
        </w:rPr>
        <w:pict w14:anchorId="016FF933">
          <v:rect id="_x0000_s2051" style="position:absolute;margin-left:34.55pt;margin-top:8.45pt;width:543.2pt;height:.5pt;z-index:-15728128;mso-wrap-distance-left:0;mso-wrap-distance-right:0;mso-position-horizontal-relative:page" fillcolor="#007935" stroked="f">
            <w10:wrap type="topAndBottom" anchorx="page"/>
          </v:rect>
        </w:pict>
      </w:r>
    </w:p>
    <w:p w14:paraId="5D46B70E" w14:textId="10B8A385" w:rsidR="000279AF" w:rsidRPr="00A416F2" w:rsidRDefault="00000000" w:rsidP="00A416F2">
      <w:pPr>
        <w:pStyle w:val="Heading2"/>
        <w:spacing w:before="171"/>
        <w:ind w:left="4410" w:right="377" w:hanging="3541"/>
        <w:rPr>
          <w:rFonts w:ascii="Arial MT" w:hAnsi="Arial MT"/>
          <w:color w:val="007935"/>
          <w:sz w:val="2"/>
          <w:szCs w:val="2"/>
        </w:rPr>
      </w:pPr>
      <w:r w:rsidRPr="00A416F2">
        <w:rPr>
          <w:b w:val="0"/>
          <w:sz w:val="18"/>
          <w:szCs w:val="18"/>
          <w:lang w:bidi="my-MM"/>
        </w:rPr>
        <w:pict w14:anchorId="3FB7C2AA">
          <v:rect id="_x0000_s2050" style="position:absolute;left:0;text-align:left;margin-left:34.55pt;margin-top:49.65pt;width:543.2pt;height:.5pt;z-index:-15727616;mso-wrap-distance-left:0;mso-wrap-distance-right:0;mso-position-horizontal-relative:page" fillcolor="#007935" stroked="f">
            <w10:wrap type="topAndBottom" anchorx="page"/>
          </v:rect>
        </w:pict>
      </w:r>
      <w:r w:rsidR="00A16095" w:rsidRPr="00A416F2">
        <w:rPr>
          <w:color w:val="007935"/>
          <w:sz w:val="18"/>
          <w:szCs w:val="18"/>
          <w:lang w:bidi="my-MM"/>
        </w:rPr>
        <w:t>မေးမြန်းလိုသည်များ ရှိပါက VT ပတ်ဝန်းကျင် ထိန်းသိမ်းရေးဌာန၏ အစိုင်အခဲ အညစ်အကြေး စီမံခန့်ခွဲရေး အစီအစဉ်သို့</w:t>
      </w:r>
      <w:r w:rsidR="00A416F2">
        <w:rPr>
          <w:rFonts w:cs="Myanmar Text"/>
          <w:color w:val="007935"/>
          <w:sz w:val="18"/>
          <w:szCs w:val="18"/>
          <w:cs/>
          <w:lang w:bidi="my-MM"/>
        </w:rPr>
        <w:br/>
      </w:r>
      <w:r w:rsidR="00A16095" w:rsidRPr="00A416F2">
        <w:rPr>
          <w:color w:val="007935"/>
          <w:sz w:val="18"/>
          <w:szCs w:val="18"/>
          <w:lang w:bidi="my-MM"/>
        </w:rPr>
        <w:t>802-828-1138 ဖြင့် ဆက်သွယ်ပါ။</w:t>
      </w:r>
    </w:p>
    <w:p w14:paraId="6D4ADF56" w14:textId="6F320E7A" w:rsidR="00192F5C" w:rsidRPr="00A63A48" w:rsidRDefault="00192F5C" w:rsidP="000279AF">
      <w:pPr>
        <w:pStyle w:val="BodyText"/>
        <w:spacing w:before="10"/>
        <w:ind w:left="0"/>
        <w:rPr>
          <w:b/>
          <w:sz w:val="11"/>
          <w:szCs w:val="22"/>
        </w:rPr>
      </w:pPr>
    </w:p>
    <w:p w14:paraId="6C66DC8D" w14:textId="77777777" w:rsidR="00192F5C" w:rsidRPr="00A416F2" w:rsidRDefault="00A16095">
      <w:pPr>
        <w:spacing w:before="94" w:line="206" w:lineRule="exact"/>
        <w:ind w:left="140"/>
        <w:jc w:val="both"/>
        <w:rPr>
          <w:b/>
          <w:sz w:val="18"/>
        </w:rPr>
      </w:pPr>
      <w:r w:rsidRPr="00A416F2">
        <w:rPr>
          <w:b/>
          <w:color w:val="2F2F2F"/>
          <w:sz w:val="18"/>
          <w:szCs w:val="18"/>
          <w:lang w:bidi="my-MM"/>
        </w:rPr>
        <w:t>ခွဲခြားဆက်ဆံမှုမရှိရေး အသိပေးချက် -</w:t>
      </w:r>
    </w:p>
    <w:p w14:paraId="4128063B" w14:textId="77777777" w:rsidR="00192F5C" w:rsidRPr="00A63A48" w:rsidRDefault="00A16095">
      <w:pPr>
        <w:ind w:left="140" w:right="174"/>
        <w:jc w:val="both"/>
        <w:rPr>
          <w:sz w:val="16"/>
          <w:szCs w:val="21"/>
        </w:rPr>
      </w:pPr>
      <w:r w:rsidRPr="00A63A48">
        <w:rPr>
          <w:color w:val="2F2F2F"/>
          <w:sz w:val="16"/>
          <w:szCs w:val="16"/>
          <w:lang w:bidi="my-MM"/>
        </w:rPr>
        <w:t>ဗားမောင့်ပြည်နယ် သဘာဝရင်းမြစ် အေဂျင်စီ (ANR) သည် ၎င်း၏ အစီအစဉ်များ၊ ဝန်ဆောင်မှုများနှင့် လုပ်ငန်းစဉ်များကို လူမျိုး၊ ဘာသာ၊ အဆင့်အတန်း၊ အသားအရောင်၊ မူရင်းနိုင်ငံ (အင်္ဂလိပ်စကား မကျွမ်းကျင်မှု အပါအဝင်)၊ ဆွေစဉ်မျိုးဆက်၊ မွေးရပ်၊ မသန်စွမ်းမှု၊ အသက်၊ အိမ်ထောင်ရှိမရှိ၊ လိင်၊ လိင်စိတ်တိမ်းညွှတ်မှု၊ ကျား/မသတ်မှတ်ချက် သို့မဟုတ် နို့တိုက်ကျွေးနေခြင်း (မိခင်နှင့်ကလေး) အပေါ် မူတည်၍ ခွဲခြားဆက်ဆံခြင်းမရှိဘဲ ဆောင်ရွက်လျှက်ရှိသည်။</w:t>
      </w:r>
    </w:p>
    <w:p w14:paraId="3783ECC3" w14:textId="77777777" w:rsidR="00192F5C" w:rsidRPr="00A416F2" w:rsidRDefault="00192F5C">
      <w:pPr>
        <w:pStyle w:val="BodyText"/>
        <w:spacing w:before="1"/>
        <w:ind w:left="0"/>
        <w:rPr>
          <w:sz w:val="18"/>
        </w:rPr>
      </w:pPr>
    </w:p>
    <w:p w14:paraId="74C7EB2A" w14:textId="197F03AD" w:rsidR="00A416F2" w:rsidRPr="00A416F2" w:rsidRDefault="00A16095" w:rsidP="00A416F2">
      <w:pPr>
        <w:spacing w:line="206" w:lineRule="exact"/>
        <w:ind w:left="140"/>
        <w:jc w:val="both"/>
        <w:rPr>
          <w:rFonts w:cs="Myanmar Text" w:hint="cs"/>
          <w:b/>
          <w:color w:val="2F2F2F"/>
          <w:sz w:val="18"/>
          <w:szCs w:val="18"/>
          <w:cs/>
          <w:lang w:bidi="my-MM"/>
        </w:rPr>
      </w:pPr>
      <w:r w:rsidRPr="00A416F2">
        <w:rPr>
          <w:b/>
          <w:color w:val="2F2F2F"/>
          <w:sz w:val="18"/>
          <w:szCs w:val="18"/>
          <w:lang w:bidi="my-MM"/>
        </w:rPr>
        <w:t>ဘာသာစကား ဝန်ဆောင်မှု ရယူရန် အသိပေးချက်-</w:t>
      </w:r>
    </w:p>
    <w:p w14:paraId="46AA2F44" w14:textId="640F9BA2" w:rsidR="00A416F2" w:rsidRPr="00A416F2" w:rsidRDefault="00A416F2" w:rsidP="00A416F2">
      <w:pPr>
        <w:spacing w:line="203" w:lineRule="exact"/>
        <w:rPr>
          <w:rFonts w:cs="Myanmar Text" w:hint="cs"/>
          <w:sz w:val="16"/>
          <w:szCs w:val="21"/>
          <w:cs/>
          <w:lang w:bidi="my-MM"/>
        </w:rPr>
        <w:sectPr w:rsidR="00A416F2" w:rsidRPr="00A416F2">
          <w:type w:val="continuous"/>
          <w:pgSz w:w="12240" w:h="15840"/>
          <w:pgMar w:top="640" w:right="540" w:bottom="280" w:left="580" w:header="720" w:footer="720" w:gutter="0"/>
          <w:cols w:space="720"/>
        </w:sectPr>
      </w:pPr>
    </w:p>
    <w:p w14:paraId="6EFE2F5E" w14:textId="7EFBC9F3" w:rsidR="00192F5C" w:rsidRPr="00A416F2" w:rsidRDefault="00A416F2" w:rsidP="00A416F2">
      <w:pPr>
        <w:rPr>
          <w:rFonts w:cs="Myanmar Text" w:hint="cs"/>
          <w:sz w:val="18"/>
          <w:szCs w:val="21"/>
          <w:cs/>
          <w:lang w:bidi="my-MM"/>
        </w:rPr>
      </w:pPr>
      <w:r>
        <w:rPr>
          <w:rFonts w:cs="Myanmar Text"/>
          <w:b/>
          <w:noProof/>
          <w:color w:val="2F2F2F"/>
          <w:sz w:val="16"/>
          <w:szCs w:val="16"/>
          <w:lang w:val="en-US" w:bidi="my-MM"/>
        </w:rPr>
        <w:drawing>
          <wp:inline distT="0" distB="0" distL="0" distR="0" wp14:anchorId="1C7F66CA" wp14:editId="035ECA61">
            <wp:extent cx="7060594" cy="801811"/>
            <wp:effectExtent l="0" t="0" r="0" b="0"/>
            <wp:docPr id="1836811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1662" cy="831458"/>
                    </a:xfrm>
                    <a:prstGeom prst="rect">
                      <a:avLst/>
                    </a:prstGeom>
                    <a:noFill/>
                  </pic:spPr>
                </pic:pic>
              </a:graphicData>
            </a:graphic>
          </wp:inline>
        </w:drawing>
      </w:r>
    </w:p>
    <w:sectPr w:rsidR="00192F5C" w:rsidRPr="00A416F2">
      <w:type w:val="continuous"/>
      <w:pgSz w:w="12240" w:h="15840"/>
      <w:pgMar w:top="640" w:right="540" w:bottom="280" w:left="580" w:header="720" w:footer="720" w:gutter="0"/>
      <w:cols w:num="3" w:space="720" w:equalWidth="0">
        <w:col w:w="2702" w:space="40"/>
        <w:col w:w="440" w:space="39"/>
        <w:col w:w="78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65FF" w14:textId="77777777" w:rsidR="00C34F0E" w:rsidRDefault="00C34F0E" w:rsidP="000279AF">
      <w:r>
        <w:separator/>
      </w:r>
    </w:p>
  </w:endnote>
  <w:endnote w:type="continuationSeparator" w:id="0">
    <w:p w14:paraId="098A096B" w14:textId="77777777" w:rsidR="00C34F0E" w:rsidRDefault="00C34F0E" w:rsidP="0002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0885" w14:textId="7A6D8D75" w:rsidR="000279AF" w:rsidRPr="00A416F2" w:rsidRDefault="000279AF" w:rsidP="000279AF">
    <w:pPr>
      <w:pStyle w:val="BodyText"/>
      <w:spacing w:before="1"/>
      <w:ind w:left="140"/>
      <w:rPr>
        <w:sz w:val="18"/>
        <w:szCs w:val="18"/>
      </w:rPr>
    </w:pPr>
    <w:r w:rsidRPr="00A416F2">
      <w:rPr>
        <w:noProof/>
        <w:sz w:val="18"/>
        <w:szCs w:val="18"/>
        <w:lang w:bidi="my-MM"/>
      </w:rPr>
      <w:drawing>
        <wp:anchor distT="0" distB="0" distL="0" distR="0" simplePos="0" relativeHeight="251660288" behindDoc="0" locked="0" layoutInCell="1" allowOverlap="1" wp14:anchorId="44306A3C" wp14:editId="18FAA612">
          <wp:simplePos x="0" y="0"/>
          <wp:positionH relativeFrom="page">
            <wp:posOffset>5311492</wp:posOffset>
          </wp:positionH>
          <wp:positionV relativeFrom="paragraph">
            <wp:posOffset>4112</wp:posOffset>
          </wp:positionV>
          <wp:extent cx="2117020" cy="4433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17020" cy="443388"/>
                  </a:xfrm>
                  <a:prstGeom prst="rect">
                    <a:avLst/>
                  </a:prstGeom>
                </pic:spPr>
              </pic:pic>
            </a:graphicData>
          </a:graphic>
        </wp:anchor>
      </w:drawing>
    </w:r>
    <w:r w:rsidRPr="00A416F2">
      <w:rPr>
        <w:color w:val="2F2F2F"/>
        <w:sz w:val="18"/>
        <w:szCs w:val="18"/>
        <w:lang w:bidi="my-MM"/>
      </w:rPr>
      <w:t>ပြင်ဆင်ချက်- 7/13/2023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6289" w14:textId="77777777" w:rsidR="00C34F0E" w:rsidRDefault="00C34F0E" w:rsidP="000279AF">
      <w:r>
        <w:separator/>
      </w:r>
    </w:p>
  </w:footnote>
  <w:footnote w:type="continuationSeparator" w:id="0">
    <w:p w14:paraId="4C93DFBC" w14:textId="77777777" w:rsidR="00C34F0E" w:rsidRDefault="00C34F0E" w:rsidP="0002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51A"/>
    <w:multiLevelType w:val="hybridMultilevel"/>
    <w:tmpl w:val="1FC08EBE"/>
    <w:lvl w:ilvl="0" w:tplc="7AB03EB6">
      <w:numFmt w:val="bullet"/>
      <w:lvlText w:val=""/>
      <w:lvlJc w:val="left"/>
      <w:pPr>
        <w:ind w:left="585" w:hanging="360"/>
      </w:pPr>
      <w:rPr>
        <w:rFonts w:ascii="Wingdings" w:eastAsia="Wingdings" w:hAnsi="Wingdings" w:cs="Wingdings" w:hint="default"/>
        <w:color w:val="2F2F2F"/>
        <w:w w:val="100"/>
        <w:sz w:val="24"/>
        <w:szCs w:val="24"/>
        <w:lang w:val="en-US" w:eastAsia="en-US" w:bidi="ar-SA"/>
      </w:rPr>
    </w:lvl>
    <w:lvl w:ilvl="1" w:tplc="31562862">
      <w:numFmt w:val="bullet"/>
      <w:lvlText w:val="•"/>
      <w:lvlJc w:val="left"/>
      <w:pPr>
        <w:ind w:left="1634" w:hanging="360"/>
      </w:pPr>
      <w:rPr>
        <w:rFonts w:hint="default"/>
        <w:lang w:val="en-US" w:eastAsia="en-US" w:bidi="ar-SA"/>
      </w:rPr>
    </w:lvl>
    <w:lvl w:ilvl="2" w:tplc="A91E4EC4">
      <w:numFmt w:val="bullet"/>
      <w:lvlText w:val="•"/>
      <w:lvlJc w:val="left"/>
      <w:pPr>
        <w:ind w:left="2688" w:hanging="360"/>
      </w:pPr>
      <w:rPr>
        <w:rFonts w:hint="default"/>
        <w:lang w:val="en-US" w:eastAsia="en-US" w:bidi="ar-SA"/>
      </w:rPr>
    </w:lvl>
    <w:lvl w:ilvl="3" w:tplc="4030C0EC">
      <w:numFmt w:val="bullet"/>
      <w:lvlText w:val="•"/>
      <w:lvlJc w:val="left"/>
      <w:pPr>
        <w:ind w:left="3742" w:hanging="360"/>
      </w:pPr>
      <w:rPr>
        <w:rFonts w:hint="default"/>
        <w:lang w:val="en-US" w:eastAsia="en-US" w:bidi="ar-SA"/>
      </w:rPr>
    </w:lvl>
    <w:lvl w:ilvl="4" w:tplc="D85E40BC">
      <w:numFmt w:val="bullet"/>
      <w:lvlText w:val="•"/>
      <w:lvlJc w:val="left"/>
      <w:pPr>
        <w:ind w:left="4796" w:hanging="360"/>
      </w:pPr>
      <w:rPr>
        <w:rFonts w:hint="default"/>
        <w:lang w:val="en-US" w:eastAsia="en-US" w:bidi="ar-SA"/>
      </w:rPr>
    </w:lvl>
    <w:lvl w:ilvl="5" w:tplc="C14E6F7C">
      <w:numFmt w:val="bullet"/>
      <w:lvlText w:val="•"/>
      <w:lvlJc w:val="left"/>
      <w:pPr>
        <w:ind w:left="5850" w:hanging="360"/>
      </w:pPr>
      <w:rPr>
        <w:rFonts w:hint="default"/>
        <w:lang w:val="en-US" w:eastAsia="en-US" w:bidi="ar-SA"/>
      </w:rPr>
    </w:lvl>
    <w:lvl w:ilvl="6" w:tplc="75F81A82">
      <w:numFmt w:val="bullet"/>
      <w:lvlText w:val="•"/>
      <w:lvlJc w:val="left"/>
      <w:pPr>
        <w:ind w:left="6904" w:hanging="360"/>
      </w:pPr>
      <w:rPr>
        <w:rFonts w:hint="default"/>
        <w:lang w:val="en-US" w:eastAsia="en-US" w:bidi="ar-SA"/>
      </w:rPr>
    </w:lvl>
    <w:lvl w:ilvl="7" w:tplc="2F9E349E">
      <w:numFmt w:val="bullet"/>
      <w:lvlText w:val="•"/>
      <w:lvlJc w:val="left"/>
      <w:pPr>
        <w:ind w:left="7958" w:hanging="360"/>
      </w:pPr>
      <w:rPr>
        <w:rFonts w:hint="default"/>
        <w:lang w:val="en-US" w:eastAsia="en-US" w:bidi="ar-SA"/>
      </w:rPr>
    </w:lvl>
    <w:lvl w:ilvl="8" w:tplc="FF1A12CC">
      <w:numFmt w:val="bullet"/>
      <w:lvlText w:val="•"/>
      <w:lvlJc w:val="left"/>
      <w:pPr>
        <w:ind w:left="9012" w:hanging="360"/>
      </w:pPr>
      <w:rPr>
        <w:rFonts w:hint="default"/>
        <w:lang w:val="en-US" w:eastAsia="en-US" w:bidi="ar-SA"/>
      </w:rPr>
    </w:lvl>
  </w:abstractNum>
  <w:abstractNum w:abstractNumId="1" w15:restartNumberingAfterBreak="0">
    <w:nsid w:val="167E0FEE"/>
    <w:multiLevelType w:val="hybridMultilevel"/>
    <w:tmpl w:val="63785BF6"/>
    <w:lvl w:ilvl="0" w:tplc="240A000B">
      <w:start w:val="1"/>
      <w:numFmt w:val="bullet"/>
      <w:lvlText w:val=""/>
      <w:lvlJc w:val="left"/>
      <w:pPr>
        <w:ind w:left="585" w:hanging="290"/>
      </w:pPr>
      <w:rPr>
        <w:rFonts w:ascii="Wingdings" w:hAnsi="Wingdings" w:hint="default"/>
        <w:color w:val="2F2F2F"/>
        <w:w w:val="52"/>
        <w:sz w:val="20"/>
        <w:szCs w:val="20"/>
        <w:lang w:val="en-US" w:eastAsia="en-US" w:bidi="ar-SA"/>
      </w:rPr>
    </w:lvl>
    <w:lvl w:ilvl="1" w:tplc="8766C7BE">
      <w:numFmt w:val="bullet"/>
      <w:lvlText w:val="•"/>
      <w:lvlJc w:val="left"/>
      <w:pPr>
        <w:ind w:left="1035" w:hanging="290"/>
      </w:pPr>
      <w:rPr>
        <w:rFonts w:hint="default"/>
        <w:lang w:val="en-US" w:eastAsia="en-US" w:bidi="ar-SA"/>
      </w:rPr>
    </w:lvl>
    <w:lvl w:ilvl="2" w:tplc="5ACCCA26">
      <w:numFmt w:val="bullet"/>
      <w:lvlText w:val="•"/>
      <w:lvlJc w:val="left"/>
      <w:pPr>
        <w:ind w:left="1490" w:hanging="290"/>
      </w:pPr>
      <w:rPr>
        <w:rFonts w:hint="default"/>
        <w:lang w:val="en-US" w:eastAsia="en-US" w:bidi="ar-SA"/>
      </w:rPr>
    </w:lvl>
    <w:lvl w:ilvl="3" w:tplc="9E2EB71E">
      <w:numFmt w:val="bullet"/>
      <w:lvlText w:val="•"/>
      <w:lvlJc w:val="left"/>
      <w:pPr>
        <w:ind w:left="1945" w:hanging="290"/>
      </w:pPr>
      <w:rPr>
        <w:rFonts w:hint="default"/>
        <w:lang w:val="en-US" w:eastAsia="en-US" w:bidi="ar-SA"/>
      </w:rPr>
    </w:lvl>
    <w:lvl w:ilvl="4" w:tplc="A92EFBF6">
      <w:numFmt w:val="bullet"/>
      <w:lvlText w:val="•"/>
      <w:lvlJc w:val="left"/>
      <w:pPr>
        <w:ind w:left="2401" w:hanging="290"/>
      </w:pPr>
      <w:rPr>
        <w:rFonts w:hint="default"/>
        <w:lang w:val="en-US" w:eastAsia="en-US" w:bidi="ar-SA"/>
      </w:rPr>
    </w:lvl>
    <w:lvl w:ilvl="5" w:tplc="9B3485B4">
      <w:numFmt w:val="bullet"/>
      <w:lvlText w:val="•"/>
      <w:lvlJc w:val="left"/>
      <w:pPr>
        <w:ind w:left="2856" w:hanging="290"/>
      </w:pPr>
      <w:rPr>
        <w:rFonts w:hint="default"/>
        <w:lang w:val="en-US" w:eastAsia="en-US" w:bidi="ar-SA"/>
      </w:rPr>
    </w:lvl>
    <w:lvl w:ilvl="6" w:tplc="AAB0A098">
      <w:numFmt w:val="bullet"/>
      <w:lvlText w:val="•"/>
      <w:lvlJc w:val="left"/>
      <w:pPr>
        <w:ind w:left="3311" w:hanging="290"/>
      </w:pPr>
      <w:rPr>
        <w:rFonts w:hint="default"/>
        <w:lang w:val="en-US" w:eastAsia="en-US" w:bidi="ar-SA"/>
      </w:rPr>
    </w:lvl>
    <w:lvl w:ilvl="7" w:tplc="6A6AD8C0">
      <w:numFmt w:val="bullet"/>
      <w:lvlText w:val="•"/>
      <w:lvlJc w:val="left"/>
      <w:pPr>
        <w:ind w:left="3767" w:hanging="290"/>
      </w:pPr>
      <w:rPr>
        <w:rFonts w:hint="default"/>
        <w:lang w:val="en-US" w:eastAsia="en-US" w:bidi="ar-SA"/>
      </w:rPr>
    </w:lvl>
    <w:lvl w:ilvl="8" w:tplc="BE1E2484">
      <w:numFmt w:val="bullet"/>
      <w:lvlText w:val="•"/>
      <w:lvlJc w:val="left"/>
      <w:pPr>
        <w:ind w:left="4222" w:hanging="290"/>
      </w:pPr>
      <w:rPr>
        <w:rFonts w:hint="default"/>
        <w:lang w:val="en-US" w:eastAsia="en-US" w:bidi="ar-SA"/>
      </w:rPr>
    </w:lvl>
  </w:abstractNum>
  <w:abstractNum w:abstractNumId="2" w15:restartNumberingAfterBreak="0">
    <w:nsid w:val="66A10CBE"/>
    <w:multiLevelType w:val="multilevel"/>
    <w:tmpl w:val="63785BF6"/>
    <w:lvl w:ilvl="0">
      <w:start w:val="1"/>
      <w:numFmt w:val="bullet"/>
      <w:lvlText w:val=""/>
      <w:lvlJc w:val="left"/>
      <w:pPr>
        <w:ind w:left="585" w:hanging="290"/>
      </w:pPr>
      <w:rPr>
        <w:rFonts w:ascii="Wingdings" w:hAnsi="Wingdings" w:hint="default"/>
        <w:color w:val="2F2F2F"/>
        <w:w w:val="52"/>
        <w:sz w:val="20"/>
        <w:szCs w:val="20"/>
        <w:lang w:val="en-US" w:eastAsia="en-US" w:bidi="ar-SA"/>
      </w:rPr>
    </w:lvl>
    <w:lvl w:ilvl="1">
      <w:numFmt w:val="bullet"/>
      <w:lvlText w:val="•"/>
      <w:lvlJc w:val="left"/>
      <w:pPr>
        <w:ind w:left="1035" w:hanging="290"/>
      </w:pPr>
      <w:rPr>
        <w:rFonts w:hint="default"/>
        <w:lang w:val="en-US" w:eastAsia="en-US" w:bidi="ar-SA"/>
      </w:rPr>
    </w:lvl>
    <w:lvl w:ilvl="2">
      <w:numFmt w:val="bullet"/>
      <w:lvlText w:val="•"/>
      <w:lvlJc w:val="left"/>
      <w:pPr>
        <w:ind w:left="1490" w:hanging="290"/>
      </w:pPr>
      <w:rPr>
        <w:rFonts w:hint="default"/>
        <w:lang w:val="en-US" w:eastAsia="en-US" w:bidi="ar-SA"/>
      </w:rPr>
    </w:lvl>
    <w:lvl w:ilvl="3">
      <w:numFmt w:val="bullet"/>
      <w:lvlText w:val="•"/>
      <w:lvlJc w:val="left"/>
      <w:pPr>
        <w:ind w:left="1945" w:hanging="290"/>
      </w:pPr>
      <w:rPr>
        <w:rFonts w:hint="default"/>
        <w:lang w:val="en-US" w:eastAsia="en-US" w:bidi="ar-SA"/>
      </w:rPr>
    </w:lvl>
    <w:lvl w:ilvl="4">
      <w:numFmt w:val="bullet"/>
      <w:lvlText w:val="•"/>
      <w:lvlJc w:val="left"/>
      <w:pPr>
        <w:ind w:left="2401" w:hanging="290"/>
      </w:pPr>
      <w:rPr>
        <w:rFonts w:hint="default"/>
        <w:lang w:val="en-US" w:eastAsia="en-US" w:bidi="ar-SA"/>
      </w:rPr>
    </w:lvl>
    <w:lvl w:ilvl="5">
      <w:numFmt w:val="bullet"/>
      <w:lvlText w:val="•"/>
      <w:lvlJc w:val="left"/>
      <w:pPr>
        <w:ind w:left="2856" w:hanging="290"/>
      </w:pPr>
      <w:rPr>
        <w:rFonts w:hint="default"/>
        <w:lang w:val="en-US" w:eastAsia="en-US" w:bidi="ar-SA"/>
      </w:rPr>
    </w:lvl>
    <w:lvl w:ilvl="6">
      <w:numFmt w:val="bullet"/>
      <w:lvlText w:val="•"/>
      <w:lvlJc w:val="left"/>
      <w:pPr>
        <w:ind w:left="3311" w:hanging="290"/>
      </w:pPr>
      <w:rPr>
        <w:rFonts w:hint="default"/>
        <w:lang w:val="en-US" w:eastAsia="en-US" w:bidi="ar-SA"/>
      </w:rPr>
    </w:lvl>
    <w:lvl w:ilvl="7">
      <w:numFmt w:val="bullet"/>
      <w:lvlText w:val="•"/>
      <w:lvlJc w:val="left"/>
      <w:pPr>
        <w:ind w:left="3767" w:hanging="290"/>
      </w:pPr>
      <w:rPr>
        <w:rFonts w:hint="default"/>
        <w:lang w:val="en-US" w:eastAsia="en-US" w:bidi="ar-SA"/>
      </w:rPr>
    </w:lvl>
    <w:lvl w:ilvl="8">
      <w:numFmt w:val="bullet"/>
      <w:lvlText w:val="•"/>
      <w:lvlJc w:val="left"/>
      <w:pPr>
        <w:ind w:left="4222" w:hanging="290"/>
      </w:pPr>
      <w:rPr>
        <w:rFonts w:hint="default"/>
        <w:lang w:val="en-US" w:eastAsia="en-US" w:bidi="ar-SA"/>
      </w:rPr>
    </w:lvl>
  </w:abstractNum>
  <w:num w:numId="1" w16cid:durableId="779228607">
    <w:abstractNumId w:val="0"/>
  </w:num>
  <w:num w:numId="2" w16cid:durableId="1099178778">
    <w:abstractNumId w:val="1"/>
  </w:num>
  <w:num w:numId="3" w16cid:durableId="1934126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F5C"/>
    <w:rsid w:val="000279AF"/>
    <w:rsid w:val="00192F5C"/>
    <w:rsid w:val="005E5615"/>
    <w:rsid w:val="00650DD9"/>
    <w:rsid w:val="00827408"/>
    <w:rsid w:val="00A16095"/>
    <w:rsid w:val="00A416F2"/>
    <w:rsid w:val="00A63A48"/>
    <w:rsid w:val="00C34F0E"/>
    <w:rsid w:val="00C67B6B"/>
    <w:rsid w:val="00F65AD3"/>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6D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40"/>
      <w:jc w:val="both"/>
      <w:outlineLvl w:val="0"/>
    </w:pPr>
    <w:rPr>
      <w:rFonts w:ascii="Arial" w:eastAsia="Arial" w:hAnsi="Arial" w:cs="Arial"/>
      <w:b/>
      <w:bCs/>
      <w:sz w:val="28"/>
      <w:szCs w:val="28"/>
    </w:rPr>
  </w:style>
  <w:style w:type="paragraph" w:styleId="Heading2">
    <w:name w:val="heading 2"/>
    <w:basedOn w:val="Normal"/>
    <w:uiPriority w:val="9"/>
    <w:unhideWhenUsed/>
    <w:qFormat/>
    <w:pPr>
      <w:ind w:left="740" w:hanging="251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585"/>
    </w:pPr>
    <w:rPr>
      <w:sz w:val="24"/>
      <w:szCs w:val="24"/>
    </w:rPr>
  </w:style>
  <w:style w:type="paragraph" w:styleId="Title">
    <w:name w:val="Title"/>
    <w:basedOn w:val="Normal"/>
    <w:uiPriority w:val="10"/>
    <w:qFormat/>
    <w:pPr>
      <w:spacing w:before="83"/>
      <w:ind w:left="3009" w:right="3041"/>
      <w:jc w:val="center"/>
    </w:pPr>
    <w:rPr>
      <w:sz w:val="52"/>
      <w:szCs w:val="52"/>
    </w:rPr>
  </w:style>
  <w:style w:type="paragraph" w:styleId="ListParagraph">
    <w:name w:val="List Paragraph"/>
    <w:basedOn w:val="Normal"/>
    <w:uiPriority w:val="1"/>
    <w:qFormat/>
    <w:pPr>
      <w:spacing w:before="59"/>
      <w:ind w:left="585" w:hanging="2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79AF"/>
    <w:pPr>
      <w:tabs>
        <w:tab w:val="center" w:pos="4419"/>
        <w:tab w:val="right" w:pos="8838"/>
      </w:tabs>
    </w:pPr>
  </w:style>
  <w:style w:type="character" w:customStyle="1" w:styleId="HeaderChar">
    <w:name w:val="Header Char"/>
    <w:basedOn w:val="DefaultParagraphFont"/>
    <w:link w:val="Header"/>
    <w:uiPriority w:val="99"/>
    <w:rsid w:val="000279AF"/>
    <w:rPr>
      <w:rFonts w:ascii="Arial MT" w:eastAsia="Arial MT" w:hAnsi="Arial MT" w:cs="Arial MT"/>
    </w:rPr>
  </w:style>
  <w:style w:type="paragraph" w:styleId="Footer">
    <w:name w:val="footer"/>
    <w:basedOn w:val="Normal"/>
    <w:link w:val="FooterChar"/>
    <w:uiPriority w:val="99"/>
    <w:unhideWhenUsed/>
    <w:rsid w:val="000279AF"/>
    <w:pPr>
      <w:tabs>
        <w:tab w:val="center" w:pos="4419"/>
        <w:tab w:val="right" w:pos="8838"/>
      </w:tabs>
    </w:pPr>
  </w:style>
  <w:style w:type="character" w:customStyle="1" w:styleId="FooterChar">
    <w:name w:val="Footer Char"/>
    <w:basedOn w:val="DefaultParagraphFont"/>
    <w:link w:val="Footer"/>
    <w:uiPriority w:val="99"/>
    <w:rsid w:val="000279AF"/>
    <w:rPr>
      <w:rFonts w:ascii="Arial MT" w:eastAsia="Arial MT" w:hAnsi="Arial MT" w:cs="Arial MT"/>
    </w:rPr>
  </w:style>
  <w:style w:type="character" w:styleId="Hyperlink">
    <w:name w:val="Hyperlink"/>
    <w:basedOn w:val="DefaultParagraphFont"/>
    <w:uiPriority w:val="99"/>
    <w:unhideWhenUsed/>
    <w:rsid w:val="000279AF"/>
    <w:rPr>
      <w:color w:val="0000FF" w:themeColor="hyperlink"/>
      <w:u w:val="single"/>
    </w:rPr>
  </w:style>
  <w:style w:type="character" w:styleId="UnresolvedMention">
    <w:name w:val="Unresolved Mention"/>
    <w:basedOn w:val="DefaultParagraphFont"/>
    <w:uiPriority w:val="99"/>
    <w:semiHidden/>
    <w:unhideWhenUsed/>
    <w:rsid w:val="0002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802recycles.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FDEFA1F5-7371-4A43-A676-4ED2CFB03C24}"/>
</file>

<file path=customXml/itemProps2.xml><?xml version="1.0" encoding="utf-8"?>
<ds:datastoreItem xmlns:ds="http://schemas.openxmlformats.org/officeDocument/2006/customXml" ds:itemID="{23BE4F7D-F26C-439E-8379-15F141D766D4}"/>
</file>

<file path=customXml/itemProps3.xml><?xml version="1.0" encoding="utf-8"?>
<ds:datastoreItem xmlns:ds="http://schemas.openxmlformats.org/officeDocument/2006/customXml" ds:itemID="{5DF3EA8B-5523-4470-B8B0-05F190838AB9}"/>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2023-07-18T16:27:00Z</dcterms:created>
  <dcterms:modified xsi:type="dcterms:W3CDTF">2023-07-19T12:02:00Z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