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CD56" w14:textId="77777777" w:rsidR="00192F5C" w:rsidRPr="00C862F4" w:rsidRDefault="00000000">
      <w:pPr>
        <w:pStyle w:val="BodyText"/>
        <w:spacing w:before="10"/>
        <w:ind w:left="0"/>
        <w:rPr>
          <w:b/>
          <w:sz w:val="18"/>
          <w:szCs w:val="22"/>
        </w:rPr>
      </w:pPr>
      <w:r>
        <w:rPr>
          <w:sz w:val="22"/>
          <w:szCs w:val="22"/>
          <w:lang w:bidi="fr-FR"/>
        </w:rPr>
        <w:pict w14:anchorId="1BC67E0E">
          <v:shape id="_x0000_s2054" style="position:absolute;margin-left:36.05pt;margin-top:14pt;width:540.25pt;height:.5pt;z-index:-15728640;mso-wrap-distance-left:0;mso-wrap-distance-right:0;mso-position-horizontal-relative:page" coordorigin="721,280" coordsize="10805,10" o:spt="100" adj="0,,0" path="m11520,280l726,280r-5,l721,285r,5l726,290r10794,l11520,285r,-5xm11525,280r-5,l11520,285r,5l11525,290r,-5l11525,280xe" fillcolor="#9f9f9f" stroked="f">
            <v:stroke joinstyle="round"/>
            <v:formulas/>
            <v:path arrowok="t" o:connecttype="segments"/>
            <w10:wrap type="topAndBottom" anchorx="page"/>
          </v:shape>
        </w:pict>
      </w:r>
    </w:p>
    <w:p w14:paraId="1ACF1FC1" w14:textId="77777777" w:rsidR="00192F5C" w:rsidRPr="00C862F4" w:rsidRDefault="00192F5C">
      <w:pPr>
        <w:pStyle w:val="BodyText"/>
        <w:spacing w:before="9"/>
        <w:ind w:left="0"/>
        <w:rPr>
          <w:b/>
          <w:sz w:val="12"/>
          <w:szCs w:val="22"/>
        </w:rPr>
      </w:pPr>
    </w:p>
    <w:p w14:paraId="1701FBD8" w14:textId="77777777" w:rsidR="00192F5C" w:rsidRPr="00C862F4" w:rsidRDefault="00A16095" w:rsidP="00C862F4">
      <w:pPr>
        <w:pStyle w:val="Title"/>
        <w:ind w:left="1276" w:right="1481"/>
        <w:rPr>
          <w:sz w:val="50"/>
          <w:szCs w:val="50"/>
        </w:rPr>
      </w:pPr>
      <w:r w:rsidRPr="00C862F4">
        <w:rPr>
          <w:color w:val="007940"/>
          <w:sz w:val="50"/>
          <w:szCs w:val="50"/>
          <w:lang w:bidi="fr-FR"/>
        </w:rPr>
        <w:t xml:space="preserve">Nettoyage </w:t>
      </w:r>
      <w:bookmarkStart w:id="0" w:name="Flood_Debris_Cleanup"/>
      <w:bookmarkEnd w:id="0"/>
      <w:r w:rsidRPr="00C862F4">
        <w:rPr>
          <w:color w:val="007940"/>
          <w:sz w:val="50"/>
          <w:szCs w:val="50"/>
          <w:lang w:bidi="fr-FR"/>
        </w:rPr>
        <w:t>des débris d’inondation</w:t>
      </w:r>
    </w:p>
    <w:p w14:paraId="422740F2" w14:textId="5A662C78" w:rsidR="00192F5C" w:rsidRPr="00C862F4" w:rsidRDefault="00A16095">
      <w:pPr>
        <w:pStyle w:val="BodyText"/>
        <w:spacing w:before="145"/>
        <w:ind w:left="140" w:right="171"/>
        <w:jc w:val="both"/>
        <w:rPr>
          <w:sz w:val="22"/>
          <w:szCs w:val="22"/>
          <w:u w:val="single"/>
        </w:rPr>
      </w:pPr>
      <w:r w:rsidRPr="00C862F4">
        <w:rPr>
          <w:color w:val="2F2F2F"/>
          <w:sz w:val="22"/>
          <w:szCs w:val="22"/>
          <w:lang w:bidi="fr-FR"/>
        </w:rPr>
        <w:t xml:space="preserve">Après une inondation, la plupart des débris peuvent être jetés dans un conteneur. Les matières recyclables endommagées par les inondations et les déchets alimentaires peuvent être jetés à la poubelle. Le nettoyage des peintures, des produits chimiques, des hydrocarbures, des pesticides et d’autres produits dangereux dans les sous-sols et les bâtiments endommagés par les inondations requiert une attention particulière. Pour protéger les personnes chargées de travailler avec les déchets solides et préserver l’environnement, il est essentiel que les résidents, les entreprises, les entrepreneurs et les équipes de nettoyage </w:t>
      </w:r>
      <w:r w:rsidRPr="00C862F4">
        <w:rPr>
          <w:color w:val="2F2F2F"/>
          <w:sz w:val="22"/>
          <w:szCs w:val="22"/>
          <w:u w:val="single"/>
          <w:lang w:bidi="fr-FR"/>
        </w:rPr>
        <w:t>séparent ces produits dangereux des autres déchets</w:t>
      </w:r>
      <w:r w:rsidRPr="00C862F4">
        <w:rPr>
          <w:color w:val="2F2F2F"/>
          <w:sz w:val="22"/>
          <w:szCs w:val="22"/>
          <w:lang w:bidi="fr-FR"/>
        </w:rPr>
        <w:t>.</w:t>
      </w:r>
    </w:p>
    <w:p w14:paraId="76F35595" w14:textId="77777777" w:rsidR="00192F5C" w:rsidRPr="00C862F4" w:rsidRDefault="00192F5C">
      <w:pPr>
        <w:pStyle w:val="BodyText"/>
        <w:spacing w:before="2"/>
        <w:ind w:left="0"/>
        <w:rPr>
          <w:sz w:val="22"/>
          <w:szCs w:val="22"/>
        </w:rPr>
      </w:pPr>
    </w:p>
    <w:p w14:paraId="702734E1" w14:textId="77777777" w:rsidR="00192F5C" w:rsidRPr="00C862F4" w:rsidRDefault="00A16095">
      <w:pPr>
        <w:pStyle w:val="Heading1"/>
        <w:rPr>
          <w:rFonts w:ascii="Arial MT" w:hAnsi="Arial MT"/>
          <w:sz w:val="26"/>
          <w:szCs w:val="24"/>
        </w:rPr>
      </w:pPr>
      <w:r w:rsidRPr="00C862F4">
        <w:rPr>
          <w:sz w:val="24"/>
          <w:szCs w:val="24"/>
          <w:lang w:bidi="fr-FR"/>
        </w:rPr>
        <w:t>Ne jetez pas les produits et articles suivants avec vos déchets habituels :</w:t>
      </w:r>
    </w:p>
    <w:p w14:paraId="2B249067" w14:textId="77777777" w:rsidR="00192F5C" w:rsidRPr="00C862F4" w:rsidRDefault="00192F5C">
      <w:pPr>
        <w:rPr>
          <w:sz w:val="20"/>
          <w:szCs w:val="20"/>
        </w:rPr>
        <w:sectPr w:rsidR="00192F5C" w:rsidRPr="00C862F4" w:rsidSect="009D2D66">
          <w:headerReference w:type="default" r:id="rId7"/>
          <w:footerReference w:type="default" r:id="rId8"/>
          <w:type w:val="continuous"/>
          <w:pgSz w:w="12240" w:h="15840"/>
          <w:pgMar w:top="640" w:right="540" w:bottom="280" w:left="580" w:header="426" w:footer="720" w:gutter="0"/>
          <w:cols w:space="720"/>
        </w:sectPr>
      </w:pPr>
    </w:p>
    <w:p w14:paraId="34C49237" w14:textId="77777777" w:rsidR="00192F5C" w:rsidRPr="00C862F4" w:rsidRDefault="00A16095">
      <w:pPr>
        <w:pStyle w:val="ListParagraph"/>
        <w:numPr>
          <w:ilvl w:val="0"/>
          <w:numId w:val="2"/>
        </w:numPr>
        <w:tabs>
          <w:tab w:val="left" w:pos="586"/>
        </w:tabs>
        <w:spacing w:before="121"/>
        <w:ind w:right="101"/>
        <w:rPr>
          <w:szCs w:val="20"/>
        </w:rPr>
      </w:pPr>
      <w:proofErr w:type="gramStart"/>
      <w:r w:rsidRPr="00C862F4">
        <w:rPr>
          <w:color w:val="2F2F2F"/>
          <w:szCs w:val="20"/>
          <w:lang w:bidi="fr-FR"/>
        </w:rPr>
        <w:t>les</w:t>
      </w:r>
      <w:proofErr w:type="gramEnd"/>
      <w:r w:rsidRPr="00C862F4">
        <w:rPr>
          <w:color w:val="2F2F2F"/>
          <w:szCs w:val="20"/>
          <w:lang w:bidi="fr-FR"/>
        </w:rPr>
        <w:t xml:space="preserve"> déchets dangereux tels que les produits toxiques, pesticides, explosifs, hydrocarbures, huiles, produits chimiques de piscine, acides, produits de débouchage, feux d’artifice, fusées éclairantes, munitions et objets tranchants non protégés ;</w:t>
      </w:r>
    </w:p>
    <w:p w14:paraId="742A16CD" w14:textId="77777777" w:rsidR="00192F5C" w:rsidRPr="00C862F4" w:rsidRDefault="00A16095">
      <w:pPr>
        <w:pStyle w:val="ListParagraph"/>
        <w:numPr>
          <w:ilvl w:val="0"/>
          <w:numId w:val="2"/>
        </w:numPr>
        <w:tabs>
          <w:tab w:val="left" w:pos="586"/>
        </w:tabs>
        <w:spacing w:before="121"/>
        <w:ind w:hanging="291"/>
        <w:rPr>
          <w:szCs w:val="20"/>
        </w:rPr>
      </w:pPr>
      <w:r w:rsidRPr="00C862F4">
        <w:rPr>
          <w:color w:val="2F2F2F"/>
          <w:szCs w:val="20"/>
          <w:lang w:bidi="fr-FR"/>
        </w:rPr>
        <w:t>les huiles, nettoyants pour freins, autres produits toxiques destinés à votre automobile ;</w:t>
      </w:r>
    </w:p>
    <w:p w14:paraId="0DB9B9FA" w14:textId="77777777" w:rsidR="00192F5C" w:rsidRPr="00C862F4" w:rsidRDefault="00A16095">
      <w:pPr>
        <w:pStyle w:val="ListParagraph"/>
        <w:numPr>
          <w:ilvl w:val="0"/>
          <w:numId w:val="2"/>
        </w:numPr>
        <w:tabs>
          <w:tab w:val="left" w:pos="586"/>
        </w:tabs>
        <w:spacing w:before="119"/>
        <w:ind w:hanging="291"/>
        <w:rPr>
          <w:szCs w:val="20"/>
        </w:rPr>
      </w:pPr>
      <w:r w:rsidRPr="00C862F4">
        <w:rPr>
          <w:color w:val="2F2F2F"/>
          <w:szCs w:val="20"/>
          <w:lang w:bidi="fr-FR"/>
        </w:rPr>
        <w:t>les peintures, teintures, vernis, solvants/décapants pour peintures ;</w:t>
      </w:r>
    </w:p>
    <w:p w14:paraId="292056E8" w14:textId="77777777" w:rsidR="00192F5C" w:rsidRPr="00C862F4" w:rsidRDefault="00A16095">
      <w:pPr>
        <w:pStyle w:val="ListParagraph"/>
        <w:numPr>
          <w:ilvl w:val="0"/>
          <w:numId w:val="2"/>
        </w:numPr>
        <w:tabs>
          <w:tab w:val="left" w:pos="586"/>
        </w:tabs>
        <w:spacing w:before="119"/>
        <w:ind w:hanging="291"/>
        <w:rPr>
          <w:szCs w:val="20"/>
        </w:rPr>
      </w:pPr>
      <w:r w:rsidRPr="00C862F4">
        <w:rPr>
          <w:color w:val="2F2F2F"/>
          <w:szCs w:val="20"/>
          <w:lang w:bidi="fr-FR"/>
        </w:rPr>
        <w:t>les bouteilles de propane et autres bouteilles de gaz ;</w:t>
      </w:r>
    </w:p>
    <w:p w14:paraId="58B2C6C4" w14:textId="77777777" w:rsidR="00192F5C" w:rsidRPr="00C862F4" w:rsidRDefault="00A16095">
      <w:pPr>
        <w:pStyle w:val="ListParagraph"/>
        <w:numPr>
          <w:ilvl w:val="0"/>
          <w:numId w:val="2"/>
        </w:numPr>
        <w:tabs>
          <w:tab w:val="left" w:pos="586"/>
        </w:tabs>
        <w:spacing w:before="120"/>
        <w:ind w:hanging="291"/>
        <w:rPr>
          <w:szCs w:val="20"/>
        </w:rPr>
      </w:pPr>
      <w:r w:rsidRPr="00C862F4">
        <w:rPr>
          <w:color w:val="2F2F2F"/>
          <w:szCs w:val="20"/>
          <w:lang w:bidi="fr-FR"/>
        </w:rPr>
        <w:t>les déchets dangereux ;</w:t>
      </w:r>
    </w:p>
    <w:p w14:paraId="5D8027CA" w14:textId="77777777" w:rsidR="00192F5C" w:rsidRPr="00C862F4" w:rsidRDefault="00A16095">
      <w:pPr>
        <w:pStyle w:val="ListParagraph"/>
        <w:numPr>
          <w:ilvl w:val="0"/>
          <w:numId w:val="2"/>
        </w:numPr>
        <w:tabs>
          <w:tab w:val="left" w:pos="586"/>
        </w:tabs>
        <w:spacing w:before="181"/>
        <w:ind w:hanging="291"/>
        <w:rPr>
          <w:szCs w:val="20"/>
        </w:rPr>
      </w:pPr>
      <w:r w:rsidRPr="00C862F4">
        <w:rPr>
          <w:color w:val="2F2F2F"/>
          <w:szCs w:val="20"/>
          <w:lang w:bidi="fr-FR"/>
        </w:rPr>
        <w:br w:type="column"/>
      </w:r>
      <w:proofErr w:type="gramStart"/>
      <w:r w:rsidRPr="00C862F4">
        <w:rPr>
          <w:color w:val="2F2F2F"/>
          <w:szCs w:val="20"/>
          <w:lang w:bidi="fr-FR"/>
        </w:rPr>
        <w:t>les</w:t>
      </w:r>
      <w:proofErr w:type="gramEnd"/>
      <w:r w:rsidRPr="00C862F4">
        <w:rPr>
          <w:color w:val="2F2F2F"/>
          <w:szCs w:val="20"/>
          <w:lang w:bidi="fr-FR"/>
        </w:rPr>
        <w:t xml:space="preserve"> piles ;</w:t>
      </w:r>
    </w:p>
    <w:p w14:paraId="18836161" w14:textId="77777777" w:rsidR="00192F5C" w:rsidRPr="00C862F4" w:rsidRDefault="00A16095">
      <w:pPr>
        <w:pStyle w:val="ListParagraph"/>
        <w:numPr>
          <w:ilvl w:val="0"/>
          <w:numId w:val="2"/>
        </w:numPr>
        <w:tabs>
          <w:tab w:val="left" w:pos="586"/>
        </w:tabs>
        <w:ind w:hanging="291"/>
        <w:rPr>
          <w:szCs w:val="20"/>
        </w:rPr>
      </w:pPr>
      <w:r w:rsidRPr="00C862F4">
        <w:rPr>
          <w:color w:val="2F2F2F"/>
          <w:szCs w:val="20"/>
          <w:lang w:bidi="fr-FR"/>
        </w:rPr>
        <w:t>les produits électroniques ;</w:t>
      </w:r>
    </w:p>
    <w:p w14:paraId="033B766C" w14:textId="77777777" w:rsidR="00192F5C" w:rsidRPr="00C862F4" w:rsidRDefault="00A16095">
      <w:pPr>
        <w:pStyle w:val="ListParagraph"/>
        <w:numPr>
          <w:ilvl w:val="0"/>
          <w:numId w:val="2"/>
        </w:numPr>
        <w:tabs>
          <w:tab w:val="left" w:pos="586"/>
        </w:tabs>
        <w:ind w:right="724"/>
        <w:rPr>
          <w:szCs w:val="20"/>
        </w:rPr>
      </w:pPr>
      <w:r w:rsidRPr="00C862F4">
        <w:rPr>
          <w:color w:val="2F2F2F"/>
          <w:szCs w:val="20"/>
          <w:lang w:bidi="fr-FR"/>
        </w:rPr>
        <w:t>les produits à base de mercure, tels que les ampoules fluorescentes, les thermostats, les thermomètres ;</w:t>
      </w:r>
    </w:p>
    <w:p w14:paraId="1B3AB8D8" w14:textId="77777777" w:rsidR="00192F5C" w:rsidRPr="00C862F4" w:rsidRDefault="00A16095">
      <w:pPr>
        <w:pStyle w:val="ListParagraph"/>
        <w:numPr>
          <w:ilvl w:val="0"/>
          <w:numId w:val="2"/>
        </w:numPr>
        <w:tabs>
          <w:tab w:val="left" w:pos="586"/>
        </w:tabs>
        <w:spacing w:before="63"/>
        <w:ind w:hanging="291"/>
        <w:rPr>
          <w:szCs w:val="20"/>
        </w:rPr>
      </w:pPr>
      <w:r w:rsidRPr="00C862F4">
        <w:rPr>
          <w:color w:val="2F2F2F"/>
          <w:szCs w:val="20"/>
          <w:lang w:bidi="fr-FR"/>
        </w:rPr>
        <w:t>les pneus ;</w:t>
      </w:r>
    </w:p>
    <w:p w14:paraId="36D2055F" w14:textId="77777777" w:rsidR="00192F5C" w:rsidRPr="00C862F4" w:rsidRDefault="00A16095">
      <w:pPr>
        <w:pStyle w:val="ListParagraph"/>
        <w:numPr>
          <w:ilvl w:val="0"/>
          <w:numId w:val="2"/>
        </w:numPr>
        <w:tabs>
          <w:tab w:val="left" w:pos="586"/>
        </w:tabs>
        <w:ind w:right="311"/>
        <w:rPr>
          <w:szCs w:val="20"/>
        </w:rPr>
      </w:pPr>
      <w:r w:rsidRPr="00C862F4">
        <w:rPr>
          <w:color w:val="2F2F2F"/>
          <w:szCs w:val="20"/>
          <w:lang w:bidi="fr-FR"/>
        </w:rPr>
        <w:t>la ferraille et les gros appareils électrodomestiques tels que réfrigérateurs, congélateurs, cuisinières, machines à laver et séchoirs à linge ;</w:t>
      </w:r>
    </w:p>
    <w:p w14:paraId="3224E242" w14:textId="77777777" w:rsidR="00192F5C" w:rsidRPr="00C862F4" w:rsidRDefault="00192F5C">
      <w:pPr>
        <w:rPr>
          <w:szCs w:val="20"/>
        </w:rPr>
        <w:sectPr w:rsidR="00192F5C" w:rsidRPr="00C862F4">
          <w:type w:val="continuous"/>
          <w:pgSz w:w="12240" w:h="15840"/>
          <w:pgMar w:top="640" w:right="540" w:bottom="280" w:left="580" w:header="720" w:footer="720" w:gutter="0"/>
          <w:cols w:num="2" w:space="720" w:equalWidth="0">
            <w:col w:w="5133" w:space="629"/>
            <w:col w:w="5358"/>
          </w:cols>
        </w:sectPr>
      </w:pPr>
    </w:p>
    <w:p w14:paraId="4C08C229" w14:textId="77777777" w:rsidR="00192F5C" w:rsidRPr="00C862F4" w:rsidRDefault="00192F5C">
      <w:pPr>
        <w:pStyle w:val="BodyText"/>
        <w:spacing w:before="2"/>
        <w:ind w:left="0"/>
        <w:rPr>
          <w:sz w:val="14"/>
          <w:szCs w:val="22"/>
        </w:rPr>
      </w:pPr>
    </w:p>
    <w:p w14:paraId="070D83FA" w14:textId="52F6E307" w:rsidR="00192F5C" w:rsidRPr="00C862F4" w:rsidRDefault="00A16095">
      <w:pPr>
        <w:pStyle w:val="BodyText"/>
        <w:spacing w:before="93"/>
        <w:ind w:left="140" w:right="172"/>
        <w:jc w:val="both"/>
        <w:rPr>
          <w:sz w:val="22"/>
          <w:szCs w:val="22"/>
        </w:rPr>
      </w:pPr>
      <w:r w:rsidRPr="00C862F4">
        <w:rPr>
          <w:color w:val="2F2F2F"/>
          <w:sz w:val="22"/>
          <w:szCs w:val="22"/>
          <w:lang w:bidi="fr-FR"/>
        </w:rPr>
        <w:t xml:space="preserve">Les entités de gestion des déchets solides peuvent proposer des services de collecte des déchets ménagers dangereux. Apprenez-en plus en contactant votre SWME à l’adresse </w:t>
      </w:r>
      <w:hyperlink r:id="rId9" w:history="1">
        <w:r w:rsidR="000279AF" w:rsidRPr="00C862F4">
          <w:rPr>
            <w:rStyle w:val="Hyperlink"/>
            <w:color w:val="4F81BD" w:themeColor="accent1"/>
            <w:sz w:val="22"/>
            <w:szCs w:val="22"/>
            <w:lang w:bidi="fr-FR"/>
          </w:rPr>
          <w:t>802recycles.com</w:t>
        </w:r>
      </w:hyperlink>
      <w:r w:rsidRPr="00C862F4">
        <w:rPr>
          <w:color w:val="2F2F2F"/>
          <w:sz w:val="22"/>
          <w:szCs w:val="22"/>
          <w:lang w:bidi="fr-FR"/>
        </w:rPr>
        <w:t>. Certains de ces objets peuvent être acceptés dans votre station de récupération locale.</w:t>
      </w:r>
    </w:p>
    <w:p w14:paraId="2C8CC292" w14:textId="77777777" w:rsidR="00192F5C" w:rsidRPr="00C862F4" w:rsidRDefault="00192F5C">
      <w:pPr>
        <w:pStyle w:val="BodyText"/>
        <w:spacing w:before="10"/>
        <w:ind w:left="0"/>
        <w:rPr>
          <w:sz w:val="21"/>
          <w:szCs w:val="22"/>
        </w:rPr>
      </w:pPr>
    </w:p>
    <w:p w14:paraId="2F113016" w14:textId="77777777" w:rsidR="00192F5C" w:rsidRPr="00C862F4" w:rsidRDefault="00A16095">
      <w:pPr>
        <w:pStyle w:val="Heading1"/>
        <w:rPr>
          <w:rFonts w:ascii="Arial MT" w:hAnsi="Arial MT"/>
          <w:sz w:val="26"/>
          <w:szCs w:val="24"/>
        </w:rPr>
      </w:pPr>
      <w:r w:rsidRPr="00C862F4">
        <w:rPr>
          <w:sz w:val="24"/>
          <w:szCs w:val="24"/>
          <w:lang w:bidi="fr-FR"/>
        </w:rPr>
        <w:t>Autres conseils :</w:t>
      </w:r>
    </w:p>
    <w:p w14:paraId="416E75B0" w14:textId="77777777" w:rsidR="00192F5C" w:rsidRPr="00C862F4" w:rsidRDefault="00A16095">
      <w:pPr>
        <w:pStyle w:val="ListParagraph"/>
        <w:numPr>
          <w:ilvl w:val="0"/>
          <w:numId w:val="1"/>
        </w:numPr>
        <w:tabs>
          <w:tab w:val="left" w:pos="585"/>
          <w:tab w:val="left" w:pos="586"/>
        </w:tabs>
        <w:spacing w:before="121"/>
        <w:ind w:hanging="361"/>
        <w:rPr>
          <w:szCs w:val="20"/>
        </w:rPr>
      </w:pPr>
      <w:r w:rsidRPr="00C862F4">
        <w:rPr>
          <w:color w:val="2F2F2F"/>
          <w:szCs w:val="20"/>
          <w:lang w:bidi="fr-FR"/>
        </w:rPr>
        <w:t>Soyez prudents ! Utilisez des gants et des lunettes de protection. Manipulez les produits chimiques ménagers avec précaution.</w:t>
      </w:r>
    </w:p>
    <w:p w14:paraId="45A5B588" w14:textId="77777777" w:rsidR="00192F5C" w:rsidRPr="00C862F4" w:rsidRDefault="00A16095">
      <w:pPr>
        <w:pStyle w:val="ListParagraph"/>
        <w:numPr>
          <w:ilvl w:val="0"/>
          <w:numId w:val="1"/>
        </w:numPr>
        <w:tabs>
          <w:tab w:val="left" w:pos="585"/>
          <w:tab w:val="left" w:pos="586"/>
        </w:tabs>
        <w:ind w:hanging="361"/>
        <w:rPr>
          <w:szCs w:val="20"/>
        </w:rPr>
      </w:pPr>
      <w:r w:rsidRPr="00C862F4">
        <w:rPr>
          <w:color w:val="2F2F2F"/>
          <w:szCs w:val="20"/>
          <w:lang w:bidi="fr-FR"/>
        </w:rPr>
        <w:t>Tenez le matériel à l’écart des enfants et des animaux.</w:t>
      </w:r>
    </w:p>
    <w:p w14:paraId="0131FF06" w14:textId="77777777" w:rsidR="00192F5C" w:rsidRPr="00C862F4" w:rsidRDefault="00A16095">
      <w:pPr>
        <w:pStyle w:val="ListParagraph"/>
        <w:numPr>
          <w:ilvl w:val="0"/>
          <w:numId w:val="1"/>
        </w:numPr>
        <w:tabs>
          <w:tab w:val="left" w:pos="585"/>
          <w:tab w:val="left" w:pos="586"/>
        </w:tabs>
        <w:ind w:hanging="361"/>
        <w:rPr>
          <w:szCs w:val="20"/>
        </w:rPr>
      </w:pPr>
      <w:r w:rsidRPr="00C862F4">
        <w:rPr>
          <w:color w:val="2F2F2F"/>
          <w:szCs w:val="20"/>
          <w:lang w:bidi="fr-FR"/>
        </w:rPr>
        <w:t>Si un récipient fuit, placez-le dans un seau ou un autre contenant.</w:t>
      </w:r>
    </w:p>
    <w:p w14:paraId="761129C5" w14:textId="77777777" w:rsidR="00192F5C" w:rsidRPr="00C862F4" w:rsidRDefault="00A16095">
      <w:pPr>
        <w:pStyle w:val="ListParagraph"/>
        <w:numPr>
          <w:ilvl w:val="0"/>
          <w:numId w:val="1"/>
        </w:numPr>
        <w:tabs>
          <w:tab w:val="left" w:pos="585"/>
          <w:tab w:val="left" w:pos="586"/>
        </w:tabs>
        <w:spacing w:before="60"/>
        <w:ind w:hanging="361"/>
        <w:rPr>
          <w:szCs w:val="20"/>
        </w:rPr>
      </w:pPr>
      <w:r w:rsidRPr="00C862F4">
        <w:rPr>
          <w:color w:val="2F2F2F"/>
          <w:szCs w:val="20"/>
          <w:lang w:bidi="fr-FR"/>
        </w:rPr>
        <w:t>Ne mélangez pas les produits chimiques et ne les versez pas dans une bouche d’égout ou sur le sol.</w:t>
      </w:r>
    </w:p>
    <w:p w14:paraId="0B7C6B4C" w14:textId="77777777" w:rsidR="00192F5C" w:rsidRPr="00C862F4" w:rsidRDefault="00192F5C">
      <w:pPr>
        <w:pStyle w:val="BodyText"/>
        <w:spacing w:before="0"/>
        <w:ind w:left="0"/>
        <w:rPr>
          <w:sz w:val="18"/>
          <w:szCs w:val="22"/>
        </w:rPr>
      </w:pPr>
    </w:p>
    <w:p w14:paraId="3F2D03DF" w14:textId="77777777" w:rsidR="00192F5C" w:rsidRPr="00C862F4" w:rsidRDefault="00000000">
      <w:pPr>
        <w:pStyle w:val="BodyText"/>
        <w:spacing w:before="3"/>
        <w:ind w:left="0"/>
        <w:rPr>
          <w:sz w:val="9"/>
          <w:szCs w:val="22"/>
        </w:rPr>
      </w:pPr>
      <w:r>
        <w:rPr>
          <w:sz w:val="22"/>
          <w:szCs w:val="22"/>
          <w:lang w:bidi="fr-FR"/>
        </w:rPr>
        <w:pict w14:anchorId="016FF933">
          <v:rect id="_x0000_s2051" style="position:absolute;margin-left:34.55pt;margin-top:8.45pt;width:543.2pt;height:.5pt;z-index:-15728128;mso-wrap-distance-left:0;mso-wrap-distance-right:0;mso-position-horizontal-relative:page" fillcolor="#007935" stroked="f">
            <w10:wrap type="topAndBottom" anchorx="page"/>
          </v:rect>
        </w:pict>
      </w:r>
    </w:p>
    <w:p w14:paraId="5D46B70E" w14:textId="239D3AD5" w:rsidR="000279AF" w:rsidRPr="000279AF" w:rsidRDefault="00000000" w:rsidP="000279AF">
      <w:pPr>
        <w:pStyle w:val="Heading2"/>
        <w:spacing w:before="171"/>
        <w:ind w:left="3381" w:right="377"/>
        <w:rPr>
          <w:rFonts w:ascii="Arial MT" w:hAnsi="Arial MT"/>
          <w:color w:val="007935"/>
          <w:sz w:val="8"/>
          <w:szCs w:val="2"/>
        </w:rPr>
      </w:pPr>
      <w:r>
        <w:rPr>
          <w:b w:val="0"/>
          <w:sz w:val="22"/>
          <w:szCs w:val="22"/>
          <w:lang w:bidi="fr-FR"/>
        </w:rPr>
        <w:pict w14:anchorId="3FB7C2AA">
          <v:rect id="_x0000_s2050" style="position:absolute;left:0;text-align:left;margin-left:34.55pt;margin-top:49.65pt;width:543.2pt;height:.5pt;z-index:-15727616;mso-wrap-distance-left:0;mso-wrap-distance-right:0;mso-position-horizontal-relative:page" fillcolor="#007935" stroked="f">
            <w10:wrap type="topAndBottom" anchorx="page"/>
          </v:rect>
        </w:pict>
      </w:r>
      <w:r w:rsidR="00A16095" w:rsidRPr="00C862F4">
        <w:rPr>
          <w:color w:val="007935"/>
          <w:sz w:val="22"/>
          <w:szCs w:val="22"/>
          <w:lang w:bidi="fr-FR"/>
        </w:rPr>
        <w:t>Si vous avez des questions, contactez le Programme des déchets solides du Ministère de la protection de l’environnement (DEC) au 802-828-1138.</w:t>
      </w:r>
    </w:p>
    <w:p w14:paraId="6D4ADF56" w14:textId="6F320E7A" w:rsidR="00192F5C" w:rsidRPr="00C862F4" w:rsidRDefault="00192F5C" w:rsidP="000279AF">
      <w:pPr>
        <w:pStyle w:val="BodyText"/>
        <w:spacing w:before="10"/>
        <w:ind w:left="0"/>
        <w:rPr>
          <w:b/>
          <w:sz w:val="11"/>
          <w:szCs w:val="22"/>
        </w:rPr>
      </w:pPr>
    </w:p>
    <w:p w14:paraId="6C66DC8D" w14:textId="77777777" w:rsidR="00192F5C" w:rsidRPr="00C862F4" w:rsidRDefault="00A16095">
      <w:pPr>
        <w:spacing w:before="94" w:line="206" w:lineRule="exact"/>
        <w:ind w:left="140"/>
        <w:jc w:val="both"/>
        <w:rPr>
          <w:b/>
          <w:sz w:val="16"/>
          <w:szCs w:val="20"/>
        </w:rPr>
      </w:pPr>
      <w:r w:rsidRPr="00C862F4">
        <w:rPr>
          <w:b/>
          <w:color w:val="2F2F2F"/>
          <w:sz w:val="16"/>
          <w:szCs w:val="20"/>
          <w:lang w:bidi="fr-FR"/>
        </w:rPr>
        <w:t>Avis de non-discrimination :</w:t>
      </w:r>
    </w:p>
    <w:p w14:paraId="4128063B" w14:textId="77777777" w:rsidR="00192F5C" w:rsidRPr="00C862F4" w:rsidRDefault="00A16095">
      <w:pPr>
        <w:ind w:left="140" w:right="174"/>
        <w:jc w:val="both"/>
        <w:rPr>
          <w:sz w:val="16"/>
          <w:szCs w:val="20"/>
        </w:rPr>
      </w:pPr>
      <w:r w:rsidRPr="00C862F4">
        <w:rPr>
          <w:color w:val="2F2F2F"/>
          <w:sz w:val="16"/>
          <w:szCs w:val="20"/>
          <w:lang w:bidi="fr-FR"/>
        </w:rPr>
        <w:t>L’Agence des ressources naturelles du Vermont (ANR) gère ses programmes, services et activités sans discrimination fondée sur la race, la religion, la croyance, la couleur, l’origine nationale (y compris en cas de maîtrise limitée de l’anglais), l’ascendance, le lieu de naissance, le handicap, l’âge, l’état civil, le sexe, l’orientation sexuelle, l’identité de genre ou l’allaitement (mère et enfant).</w:t>
      </w:r>
    </w:p>
    <w:p w14:paraId="3783ECC3" w14:textId="77777777" w:rsidR="00192F5C" w:rsidRPr="00C862F4" w:rsidRDefault="00192F5C">
      <w:pPr>
        <w:pStyle w:val="BodyText"/>
        <w:spacing w:before="1"/>
        <w:ind w:left="0"/>
        <w:rPr>
          <w:sz w:val="16"/>
          <w:szCs w:val="22"/>
        </w:rPr>
      </w:pPr>
    </w:p>
    <w:p w14:paraId="1ED4A7D5" w14:textId="77777777" w:rsidR="00F40ECA" w:rsidRDefault="00F40ECA">
      <w:pPr>
        <w:spacing w:line="206" w:lineRule="exact"/>
        <w:ind w:left="140"/>
        <w:jc w:val="both"/>
        <w:rPr>
          <w:b/>
          <w:color w:val="2F2F2F"/>
          <w:sz w:val="16"/>
          <w:szCs w:val="20"/>
          <w:lang w:bidi="fr-FR"/>
        </w:rPr>
      </w:pPr>
    </w:p>
    <w:p w14:paraId="6BB0D355" w14:textId="77777777" w:rsidR="00F40ECA" w:rsidRDefault="00F40ECA">
      <w:pPr>
        <w:spacing w:line="206" w:lineRule="exact"/>
        <w:ind w:left="140"/>
        <w:jc w:val="both"/>
        <w:rPr>
          <w:b/>
          <w:color w:val="2F2F2F"/>
          <w:sz w:val="16"/>
          <w:szCs w:val="20"/>
          <w:lang w:bidi="fr-FR"/>
        </w:rPr>
      </w:pPr>
    </w:p>
    <w:p w14:paraId="4C61E7F5" w14:textId="77777777" w:rsidR="00F40ECA" w:rsidRDefault="00F40ECA">
      <w:pPr>
        <w:spacing w:line="206" w:lineRule="exact"/>
        <w:ind w:left="140"/>
        <w:jc w:val="both"/>
        <w:rPr>
          <w:b/>
          <w:color w:val="2F2F2F"/>
          <w:sz w:val="16"/>
          <w:szCs w:val="20"/>
          <w:lang w:bidi="fr-FR"/>
        </w:rPr>
      </w:pPr>
    </w:p>
    <w:p w14:paraId="7392C122" w14:textId="77777777" w:rsidR="00F40ECA" w:rsidRDefault="00F40ECA">
      <w:pPr>
        <w:spacing w:line="206" w:lineRule="exact"/>
        <w:ind w:left="140"/>
        <w:jc w:val="both"/>
        <w:rPr>
          <w:b/>
          <w:color w:val="2F2F2F"/>
          <w:sz w:val="16"/>
          <w:szCs w:val="20"/>
          <w:lang w:bidi="fr-FR"/>
        </w:rPr>
      </w:pPr>
    </w:p>
    <w:p w14:paraId="365D15F0" w14:textId="4BBDB1AC" w:rsidR="00F40ECA" w:rsidRDefault="00F40ECA">
      <w:pPr>
        <w:spacing w:line="206" w:lineRule="exact"/>
        <w:ind w:left="140"/>
        <w:jc w:val="both"/>
        <w:rPr>
          <w:b/>
          <w:color w:val="2F2F2F"/>
          <w:sz w:val="16"/>
          <w:szCs w:val="20"/>
          <w:lang w:bidi="fr-FR"/>
        </w:rPr>
      </w:pPr>
    </w:p>
    <w:p w14:paraId="5B1EBAD2" w14:textId="6008381A" w:rsidR="00192F5C" w:rsidRPr="00C862F4" w:rsidRDefault="00A16095">
      <w:pPr>
        <w:spacing w:line="206" w:lineRule="exact"/>
        <w:ind w:left="140"/>
        <w:jc w:val="both"/>
        <w:rPr>
          <w:b/>
          <w:sz w:val="16"/>
          <w:szCs w:val="20"/>
        </w:rPr>
      </w:pPr>
      <w:r w:rsidRPr="00C862F4">
        <w:rPr>
          <w:b/>
          <w:color w:val="2F2F2F"/>
          <w:sz w:val="16"/>
          <w:szCs w:val="20"/>
          <w:lang w:bidi="fr-FR"/>
        </w:rPr>
        <w:t>Avis relatif à l’accès linguistique :</w:t>
      </w:r>
    </w:p>
    <w:p w14:paraId="29FE1F1A" w14:textId="5012FCA6" w:rsidR="00192F5C" w:rsidRDefault="00F40ECA" w:rsidP="000279AF">
      <w:pPr>
        <w:spacing w:line="203" w:lineRule="exact"/>
        <w:ind w:left="140"/>
        <w:rPr>
          <w:color w:val="2F2F2F"/>
          <w:sz w:val="16"/>
          <w:szCs w:val="20"/>
          <w:lang w:bidi="fr-FR"/>
        </w:rPr>
      </w:pPr>
      <w:r>
        <w:rPr>
          <w:rFonts w:cs="Myanmar Text"/>
          <w:b/>
          <w:noProof/>
          <w:color w:val="2F2F2F"/>
          <w:sz w:val="16"/>
          <w:szCs w:val="16"/>
          <w:lang w:val="en-US" w:bidi="my-MM"/>
        </w:rPr>
        <w:drawing>
          <wp:anchor distT="0" distB="0" distL="114300" distR="114300" simplePos="0" relativeHeight="251658752" behindDoc="1" locked="0" layoutInCell="1" allowOverlap="1" wp14:anchorId="1ED18BA8" wp14:editId="3154A692">
            <wp:simplePos x="0" y="0"/>
            <wp:positionH relativeFrom="column">
              <wp:posOffset>50800</wp:posOffset>
            </wp:positionH>
            <wp:positionV relativeFrom="paragraph">
              <wp:posOffset>5080</wp:posOffset>
            </wp:positionV>
            <wp:extent cx="7060594" cy="801811"/>
            <wp:effectExtent l="0" t="0" r="0" b="0"/>
            <wp:wrapNone/>
            <wp:docPr id="18368119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0594" cy="801811"/>
                    </a:xfrm>
                    <a:prstGeom prst="rect">
                      <a:avLst/>
                    </a:prstGeom>
                    <a:noFill/>
                  </pic:spPr>
                </pic:pic>
              </a:graphicData>
            </a:graphic>
            <wp14:sizeRelH relativeFrom="page">
              <wp14:pctWidth>0</wp14:pctWidth>
            </wp14:sizeRelH>
            <wp14:sizeRelV relativeFrom="page">
              <wp14:pctHeight>0</wp14:pctHeight>
            </wp14:sizeRelV>
          </wp:anchor>
        </w:drawing>
      </w:r>
    </w:p>
    <w:p w14:paraId="46AA2F44" w14:textId="35E93E97" w:rsidR="00F40ECA" w:rsidRPr="00C862F4" w:rsidRDefault="00F40ECA" w:rsidP="000279AF">
      <w:pPr>
        <w:spacing w:line="203" w:lineRule="exact"/>
        <w:ind w:left="140"/>
        <w:rPr>
          <w:sz w:val="16"/>
          <w:szCs w:val="20"/>
        </w:rPr>
        <w:sectPr w:rsidR="00F40ECA" w:rsidRPr="00C862F4" w:rsidSect="00F40ECA">
          <w:type w:val="continuous"/>
          <w:pgSz w:w="12240" w:h="15840"/>
          <w:pgMar w:top="640" w:right="540" w:bottom="1843" w:left="580" w:header="720" w:footer="720" w:gutter="0"/>
          <w:cols w:space="720"/>
        </w:sectPr>
      </w:pPr>
    </w:p>
    <w:p w14:paraId="6EFE2F5E" w14:textId="4C8EA034" w:rsidR="00192F5C" w:rsidRPr="00C862F4" w:rsidRDefault="00192F5C" w:rsidP="000279AF">
      <w:pPr>
        <w:ind w:left="64"/>
        <w:rPr>
          <w:sz w:val="17"/>
          <w:szCs w:val="20"/>
        </w:rPr>
      </w:pPr>
    </w:p>
    <w:sectPr w:rsidR="00192F5C" w:rsidRPr="00C862F4">
      <w:type w:val="continuous"/>
      <w:pgSz w:w="12240" w:h="15840"/>
      <w:pgMar w:top="640" w:right="540" w:bottom="280" w:left="580" w:header="720" w:footer="720" w:gutter="0"/>
      <w:cols w:num="3" w:space="720" w:equalWidth="0">
        <w:col w:w="2702" w:space="40"/>
        <w:col w:w="440" w:space="39"/>
        <w:col w:w="789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EFFF8" w14:textId="77777777" w:rsidR="00881D47" w:rsidRDefault="00881D47" w:rsidP="000279AF">
      <w:r>
        <w:separator/>
      </w:r>
    </w:p>
  </w:endnote>
  <w:endnote w:type="continuationSeparator" w:id="0">
    <w:p w14:paraId="518C63C5" w14:textId="77777777" w:rsidR="00881D47" w:rsidRDefault="00881D47" w:rsidP="0002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0885" w14:textId="7A6D8D75" w:rsidR="000279AF" w:rsidRPr="00F40ECA" w:rsidRDefault="000279AF" w:rsidP="000279AF">
    <w:pPr>
      <w:pStyle w:val="BodyText"/>
      <w:spacing w:before="1"/>
      <w:ind w:left="140"/>
      <w:rPr>
        <w:sz w:val="22"/>
        <w:szCs w:val="22"/>
      </w:rPr>
    </w:pPr>
    <w:r w:rsidRPr="00F40ECA">
      <w:rPr>
        <w:noProof/>
        <w:sz w:val="22"/>
        <w:szCs w:val="22"/>
        <w:lang w:bidi="fr-FR"/>
      </w:rPr>
      <w:drawing>
        <wp:anchor distT="0" distB="0" distL="0" distR="0" simplePos="0" relativeHeight="251656704" behindDoc="0" locked="0" layoutInCell="1" allowOverlap="1" wp14:anchorId="44306A3C" wp14:editId="18FAA612">
          <wp:simplePos x="0" y="0"/>
          <wp:positionH relativeFrom="page">
            <wp:posOffset>5311492</wp:posOffset>
          </wp:positionH>
          <wp:positionV relativeFrom="paragraph">
            <wp:posOffset>4112</wp:posOffset>
          </wp:positionV>
          <wp:extent cx="2117020" cy="443388"/>
          <wp:effectExtent l="0" t="0" r="0" b="0"/>
          <wp:wrapTopAndBottom/>
          <wp:docPr id="914357287" name="Picture 914357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17020" cy="443388"/>
                  </a:xfrm>
                  <a:prstGeom prst="rect">
                    <a:avLst/>
                  </a:prstGeom>
                </pic:spPr>
              </pic:pic>
            </a:graphicData>
          </a:graphic>
        </wp:anchor>
      </w:drawing>
    </w:r>
    <w:r w:rsidRPr="00F40ECA">
      <w:rPr>
        <w:color w:val="2F2F2F"/>
        <w:sz w:val="22"/>
        <w:szCs w:val="22"/>
        <w:lang w:bidi="fr-FR"/>
      </w:rPr>
      <w:t>Révisé : le 13 juillet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3591" w14:textId="77777777" w:rsidR="00881D47" w:rsidRDefault="00881D47" w:rsidP="000279AF">
      <w:r>
        <w:separator/>
      </w:r>
    </w:p>
  </w:footnote>
  <w:footnote w:type="continuationSeparator" w:id="0">
    <w:p w14:paraId="7031EC32" w14:textId="77777777" w:rsidR="00881D47" w:rsidRDefault="00881D47" w:rsidP="00027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EAF53" w14:textId="77777777" w:rsidR="002509D0" w:rsidRPr="00C862F4" w:rsidRDefault="002509D0" w:rsidP="002509D0">
    <w:pPr>
      <w:pStyle w:val="BodyText"/>
      <w:spacing w:before="80" w:line="275" w:lineRule="exact"/>
      <w:ind w:left="740"/>
      <w:rPr>
        <w:sz w:val="22"/>
        <w:szCs w:val="22"/>
      </w:rPr>
    </w:pPr>
    <w:r w:rsidRPr="00C862F4">
      <w:rPr>
        <w:noProof/>
        <w:sz w:val="22"/>
        <w:szCs w:val="22"/>
        <w:lang w:bidi="fr-FR"/>
      </w:rPr>
      <w:drawing>
        <wp:anchor distT="0" distB="0" distL="0" distR="0" simplePos="0" relativeHeight="251661824" behindDoc="0" locked="0" layoutInCell="1" allowOverlap="1" wp14:anchorId="03C179EC" wp14:editId="306EF3A1">
          <wp:simplePos x="0" y="0"/>
          <wp:positionH relativeFrom="page">
            <wp:posOffset>457200</wp:posOffset>
          </wp:positionH>
          <wp:positionV relativeFrom="paragraph">
            <wp:posOffset>50505</wp:posOffset>
          </wp:positionV>
          <wp:extent cx="240722" cy="365239"/>
          <wp:effectExtent l="0" t="0" r="0" b="0"/>
          <wp:wrapNone/>
          <wp:docPr id="660417590" name="Picture 66041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Pr="00C862F4">
      <w:rPr>
        <w:color w:val="2F2F2F"/>
        <w:sz w:val="22"/>
        <w:szCs w:val="22"/>
        <w:lang w:bidi="fr-FR"/>
      </w:rPr>
      <w:t>État du Vermont, Agence des ressources naturelles</w:t>
    </w:r>
  </w:p>
  <w:p w14:paraId="7288C383" w14:textId="77777777" w:rsidR="002509D0" w:rsidRPr="00C862F4" w:rsidRDefault="002509D0" w:rsidP="002509D0">
    <w:pPr>
      <w:pStyle w:val="Heading2"/>
      <w:spacing w:line="275" w:lineRule="exact"/>
      <w:ind w:firstLine="0"/>
      <w:rPr>
        <w:rFonts w:ascii="Arial MT" w:hAnsi="Arial MT"/>
        <w:sz w:val="22"/>
        <w:szCs w:val="22"/>
      </w:rPr>
    </w:pPr>
    <w:r w:rsidRPr="00C862F4">
      <w:rPr>
        <w:color w:val="2F2F2F"/>
        <w:sz w:val="22"/>
        <w:szCs w:val="22"/>
        <w:lang w:bidi="fr-FR"/>
      </w:rPr>
      <w:t>Ressources de récupération post-inondations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551A"/>
    <w:multiLevelType w:val="hybridMultilevel"/>
    <w:tmpl w:val="1FC08EBE"/>
    <w:lvl w:ilvl="0" w:tplc="7AB03EB6">
      <w:numFmt w:val="bullet"/>
      <w:lvlText w:val=""/>
      <w:lvlJc w:val="left"/>
      <w:pPr>
        <w:ind w:left="585" w:hanging="360"/>
      </w:pPr>
      <w:rPr>
        <w:rFonts w:ascii="Wingdings" w:eastAsia="Wingdings" w:hAnsi="Wingdings" w:cs="Wingdings" w:hint="default"/>
        <w:color w:val="2F2F2F"/>
        <w:w w:val="100"/>
        <w:sz w:val="24"/>
        <w:szCs w:val="24"/>
        <w:lang w:val="en-US" w:eastAsia="en-US" w:bidi="ar-SA"/>
      </w:rPr>
    </w:lvl>
    <w:lvl w:ilvl="1" w:tplc="31562862">
      <w:numFmt w:val="bullet"/>
      <w:lvlText w:val="•"/>
      <w:lvlJc w:val="left"/>
      <w:pPr>
        <w:ind w:left="1634" w:hanging="360"/>
      </w:pPr>
      <w:rPr>
        <w:rFonts w:hint="default"/>
        <w:lang w:val="en-US" w:eastAsia="en-US" w:bidi="ar-SA"/>
      </w:rPr>
    </w:lvl>
    <w:lvl w:ilvl="2" w:tplc="A91E4EC4">
      <w:numFmt w:val="bullet"/>
      <w:lvlText w:val="•"/>
      <w:lvlJc w:val="left"/>
      <w:pPr>
        <w:ind w:left="2688" w:hanging="360"/>
      </w:pPr>
      <w:rPr>
        <w:rFonts w:hint="default"/>
        <w:lang w:val="en-US" w:eastAsia="en-US" w:bidi="ar-SA"/>
      </w:rPr>
    </w:lvl>
    <w:lvl w:ilvl="3" w:tplc="4030C0EC">
      <w:numFmt w:val="bullet"/>
      <w:lvlText w:val="•"/>
      <w:lvlJc w:val="left"/>
      <w:pPr>
        <w:ind w:left="3742" w:hanging="360"/>
      </w:pPr>
      <w:rPr>
        <w:rFonts w:hint="default"/>
        <w:lang w:val="en-US" w:eastAsia="en-US" w:bidi="ar-SA"/>
      </w:rPr>
    </w:lvl>
    <w:lvl w:ilvl="4" w:tplc="D85E40BC">
      <w:numFmt w:val="bullet"/>
      <w:lvlText w:val="•"/>
      <w:lvlJc w:val="left"/>
      <w:pPr>
        <w:ind w:left="4796" w:hanging="360"/>
      </w:pPr>
      <w:rPr>
        <w:rFonts w:hint="default"/>
        <w:lang w:val="en-US" w:eastAsia="en-US" w:bidi="ar-SA"/>
      </w:rPr>
    </w:lvl>
    <w:lvl w:ilvl="5" w:tplc="C14E6F7C">
      <w:numFmt w:val="bullet"/>
      <w:lvlText w:val="•"/>
      <w:lvlJc w:val="left"/>
      <w:pPr>
        <w:ind w:left="5850" w:hanging="360"/>
      </w:pPr>
      <w:rPr>
        <w:rFonts w:hint="default"/>
        <w:lang w:val="en-US" w:eastAsia="en-US" w:bidi="ar-SA"/>
      </w:rPr>
    </w:lvl>
    <w:lvl w:ilvl="6" w:tplc="75F81A82">
      <w:numFmt w:val="bullet"/>
      <w:lvlText w:val="•"/>
      <w:lvlJc w:val="left"/>
      <w:pPr>
        <w:ind w:left="6904" w:hanging="360"/>
      </w:pPr>
      <w:rPr>
        <w:rFonts w:hint="default"/>
        <w:lang w:val="en-US" w:eastAsia="en-US" w:bidi="ar-SA"/>
      </w:rPr>
    </w:lvl>
    <w:lvl w:ilvl="7" w:tplc="2F9E349E">
      <w:numFmt w:val="bullet"/>
      <w:lvlText w:val="•"/>
      <w:lvlJc w:val="left"/>
      <w:pPr>
        <w:ind w:left="7958" w:hanging="360"/>
      </w:pPr>
      <w:rPr>
        <w:rFonts w:hint="default"/>
        <w:lang w:val="en-US" w:eastAsia="en-US" w:bidi="ar-SA"/>
      </w:rPr>
    </w:lvl>
    <w:lvl w:ilvl="8" w:tplc="FF1A12CC">
      <w:numFmt w:val="bullet"/>
      <w:lvlText w:val="•"/>
      <w:lvlJc w:val="left"/>
      <w:pPr>
        <w:ind w:left="9012" w:hanging="360"/>
      </w:pPr>
      <w:rPr>
        <w:rFonts w:hint="default"/>
        <w:lang w:val="en-US" w:eastAsia="en-US" w:bidi="ar-SA"/>
      </w:rPr>
    </w:lvl>
  </w:abstractNum>
  <w:abstractNum w:abstractNumId="1" w15:restartNumberingAfterBreak="0">
    <w:nsid w:val="167E0FEE"/>
    <w:multiLevelType w:val="hybridMultilevel"/>
    <w:tmpl w:val="63785BF6"/>
    <w:lvl w:ilvl="0" w:tplc="240A000B">
      <w:start w:val="1"/>
      <w:numFmt w:val="bullet"/>
      <w:lvlText w:val=""/>
      <w:lvlJc w:val="left"/>
      <w:pPr>
        <w:ind w:left="585" w:hanging="290"/>
      </w:pPr>
      <w:rPr>
        <w:rFonts w:ascii="Wingdings" w:hAnsi="Wingdings" w:hint="default"/>
        <w:color w:val="2F2F2F"/>
        <w:w w:val="52"/>
        <w:sz w:val="20"/>
        <w:szCs w:val="20"/>
        <w:lang w:val="en-US" w:eastAsia="en-US" w:bidi="ar-SA"/>
      </w:rPr>
    </w:lvl>
    <w:lvl w:ilvl="1" w:tplc="8766C7BE">
      <w:numFmt w:val="bullet"/>
      <w:lvlText w:val="•"/>
      <w:lvlJc w:val="left"/>
      <w:pPr>
        <w:ind w:left="1035" w:hanging="290"/>
      </w:pPr>
      <w:rPr>
        <w:rFonts w:hint="default"/>
        <w:lang w:val="en-US" w:eastAsia="en-US" w:bidi="ar-SA"/>
      </w:rPr>
    </w:lvl>
    <w:lvl w:ilvl="2" w:tplc="5ACCCA26">
      <w:numFmt w:val="bullet"/>
      <w:lvlText w:val="•"/>
      <w:lvlJc w:val="left"/>
      <w:pPr>
        <w:ind w:left="1490" w:hanging="290"/>
      </w:pPr>
      <w:rPr>
        <w:rFonts w:hint="default"/>
        <w:lang w:val="en-US" w:eastAsia="en-US" w:bidi="ar-SA"/>
      </w:rPr>
    </w:lvl>
    <w:lvl w:ilvl="3" w:tplc="9E2EB71E">
      <w:numFmt w:val="bullet"/>
      <w:lvlText w:val="•"/>
      <w:lvlJc w:val="left"/>
      <w:pPr>
        <w:ind w:left="1945" w:hanging="290"/>
      </w:pPr>
      <w:rPr>
        <w:rFonts w:hint="default"/>
        <w:lang w:val="en-US" w:eastAsia="en-US" w:bidi="ar-SA"/>
      </w:rPr>
    </w:lvl>
    <w:lvl w:ilvl="4" w:tplc="A92EFBF6">
      <w:numFmt w:val="bullet"/>
      <w:lvlText w:val="•"/>
      <w:lvlJc w:val="left"/>
      <w:pPr>
        <w:ind w:left="2401" w:hanging="290"/>
      </w:pPr>
      <w:rPr>
        <w:rFonts w:hint="default"/>
        <w:lang w:val="en-US" w:eastAsia="en-US" w:bidi="ar-SA"/>
      </w:rPr>
    </w:lvl>
    <w:lvl w:ilvl="5" w:tplc="9B3485B4">
      <w:numFmt w:val="bullet"/>
      <w:lvlText w:val="•"/>
      <w:lvlJc w:val="left"/>
      <w:pPr>
        <w:ind w:left="2856" w:hanging="290"/>
      </w:pPr>
      <w:rPr>
        <w:rFonts w:hint="default"/>
        <w:lang w:val="en-US" w:eastAsia="en-US" w:bidi="ar-SA"/>
      </w:rPr>
    </w:lvl>
    <w:lvl w:ilvl="6" w:tplc="AAB0A098">
      <w:numFmt w:val="bullet"/>
      <w:lvlText w:val="•"/>
      <w:lvlJc w:val="left"/>
      <w:pPr>
        <w:ind w:left="3311" w:hanging="290"/>
      </w:pPr>
      <w:rPr>
        <w:rFonts w:hint="default"/>
        <w:lang w:val="en-US" w:eastAsia="en-US" w:bidi="ar-SA"/>
      </w:rPr>
    </w:lvl>
    <w:lvl w:ilvl="7" w:tplc="6A6AD8C0">
      <w:numFmt w:val="bullet"/>
      <w:lvlText w:val="•"/>
      <w:lvlJc w:val="left"/>
      <w:pPr>
        <w:ind w:left="3767" w:hanging="290"/>
      </w:pPr>
      <w:rPr>
        <w:rFonts w:hint="default"/>
        <w:lang w:val="en-US" w:eastAsia="en-US" w:bidi="ar-SA"/>
      </w:rPr>
    </w:lvl>
    <w:lvl w:ilvl="8" w:tplc="BE1E2484">
      <w:numFmt w:val="bullet"/>
      <w:lvlText w:val="•"/>
      <w:lvlJc w:val="left"/>
      <w:pPr>
        <w:ind w:left="4222" w:hanging="290"/>
      </w:pPr>
      <w:rPr>
        <w:rFonts w:hint="default"/>
        <w:lang w:val="en-US" w:eastAsia="en-US" w:bidi="ar-SA"/>
      </w:rPr>
    </w:lvl>
  </w:abstractNum>
  <w:abstractNum w:abstractNumId="2" w15:restartNumberingAfterBreak="0">
    <w:nsid w:val="66A10CBE"/>
    <w:multiLevelType w:val="multilevel"/>
    <w:tmpl w:val="63785BF6"/>
    <w:lvl w:ilvl="0">
      <w:start w:val="1"/>
      <w:numFmt w:val="bullet"/>
      <w:lvlText w:val=""/>
      <w:lvlJc w:val="left"/>
      <w:pPr>
        <w:ind w:left="585" w:hanging="290"/>
      </w:pPr>
      <w:rPr>
        <w:rFonts w:ascii="Wingdings" w:hAnsi="Wingdings" w:hint="default"/>
        <w:color w:val="2F2F2F"/>
        <w:w w:val="52"/>
        <w:sz w:val="20"/>
        <w:szCs w:val="20"/>
        <w:lang w:val="en-US" w:eastAsia="en-US" w:bidi="ar-SA"/>
      </w:rPr>
    </w:lvl>
    <w:lvl w:ilvl="1">
      <w:numFmt w:val="bullet"/>
      <w:lvlText w:val="•"/>
      <w:lvlJc w:val="left"/>
      <w:pPr>
        <w:ind w:left="1035" w:hanging="290"/>
      </w:pPr>
      <w:rPr>
        <w:rFonts w:hint="default"/>
        <w:lang w:val="en-US" w:eastAsia="en-US" w:bidi="ar-SA"/>
      </w:rPr>
    </w:lvl>
    <w:lvl w:ilvl="2">
      <w:numFmt w:val="bullet"/>
      <w:lvlText w:val="•"/>
      <w:lvlJc w:val="left"/>
      <w:pPr>
        <w:ind w:left="1490" w:hanging="290"/>
      </w:pPr>
      <w:rPr>
        <w:rFonts w:hint="default"/>
        <w:lang w:val="en-US" w:eastAsia="en-US" w:bidi="ar-SA"/>
      </w:rPr>
    </w:lvl>
    <w:lvl w:ilvl="3">
      <w:numFmt w:val="bullet"/>
      <w:lvlText w:val="•"/>
      <w:lvlJc w:val="left"/>
      <w:pPr>
        <w:ind w:left="1945" w:hanging="290"/>
      </w:pPr>
      <w:rPr>
        <w:rFonts w:hint="default"/>
        <w:lang w:val="en-US" w:eastAsia="en-US" w:bidi="ar-SA"/>
      </w:rPr>
    </w:lvl>
    <w:lvl w:ilvl="4">
      <w:numFmt w:val="bullet"/>
      <w:lvlText w:val="•"/>
      <w:lvlJc w:val="left"/>
      <w:pPr>
        <w:ind w:left="2401" w:hanging="290"/>
      </w:pPr>
      <w:rPr>
        <w:rFonts w:hint="default"/>
        <w:lang w:val="en-US" w:eastAsia="en-US" w:bidi="ar-SA"/>
      </w:rPr>
    </w:lvl>
    <w:lvl w:ilvl="5">
      <w:numFmt w:val="bullet"/>
      <w:lvlText w:val="•"/>
      <w:lvlJc w:val="left"/>
      <w:pPr>
        <w:ind w:left="2856" w:hanging="290"/>
      </w:pPr>
      <w:rPr>
        <w:rFonts w:hint="default"/>
        <w:lang w:val="en-US" w:eastAsia="en-US" w:bidi="ar-SA"/>
      </w:rPr>
    </w:lvl>
    <w:lvl w:ilvl="6">
      <w:numFmt w:val="bullet"/>
      <w:lvlText w:val="•"/>
      <w:lvlJc w:val="left"/>
      <w:pPr>
        <w:ind w:left="3311" w:hanging="290"/>
      </w:pPr>
      <w:rPr>
        <w:rFonts w:hint="default"/>
        <w:lang w:val="en-US" w:eastAsia="en-US" w:bidi="ar-SA"/>
      </w:rPr>
    </w:lvl>
    <w:lvl w:ilvl="7">
      <w:numFmt w:val="bullet"/>
      <w:lvlText w:val="•"/>
      <w:lvlJc w:val="left"/>
      <w:pPr>
        <w:ind w:left="3767" w:hanging="290"/>
      </w:pPr>
      <w:rPr>
        <w:rFonts w:hint="default"/>
        <w:lang w:val="en-US" w:eastAsia="en-US" w:bidi="ar-SA"/>
      </w:rPr>
    </w:lvl>
    <w:lvl w:ilvl="8">
      <w:numFmt w:val="bullet"/>
      <w:lvlText w:val="•"/>
      <w:lvlJc w:val="left"/>
      <w:pPr>
        <w:ind w:left="4222" w:hanging="290"/>
      </w:pPr>
      <w:rPr>
        <w:rFonts w:hint="default"/>
        <w:lang w:val="en-US" w:eastAsia="en-US" w:bidi="ar-SA"/>
      </w:rPr>
    </w:lvl>
  </w:abstractNum>
  <w:num w:numId="1" w16cid:durableId="779228607">
    <w:abstractNumId w:val="0"/>
  </w:num>
  <w:num w:numId="2" w16cid:durableId="1099178778">
    <w:abstractNumId w:val="1"/>
  </w:num>
  <w:num w:numId="3" w16cid:durableId="1934126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F5C"/>
    <w:rsid w:val="000279AF"/>
    <w:rsid w:val="0010511D"/>
    <w:rsid w:val="00192F5C"/>
    <w:rsid w:val="002509D0"/>
    <w:rsid w:val="002C451C"/>
    <w:rsid w:val="005E5615"/>
    <w:rsid w:val="00650DD9"/>
    <w:rsid w:val="00827408"/>
    <w:rsid w:val="00881D47"/>
    <w:rsid w:val="009D2D66"/>
    <w:rsid w:val="00A16095"/>
    <w:rsid w:val="00C862F4"/>
    <w:rsid w:val="00F40ECA"/>
    <w:rsid w:val="00F65AD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
  <w:listSeparator w:val=";"/>
  <w14:docId w14:val="26DF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40"/>
      <w:jc w:val="both"/>
      <w:outlineLvl w:val="0"/>
    </w:pPr>
    <w:rPr>
      <w:rFonts w:ascii="Arial" w:eastAsia="Arial" w:hAnsi="Arial" w:cs="Arial"/>
      <w:b/>
      <w:bCs/>
      <w:sz w:val="28"/>
      <w:szCs w:val="28"/>
    </w:rPr>
  </w:style>
  <w:style w:type="paragraph" w:styleId="Heading2">
    <w:name w:val="heading 2"/>
    <w:basedOn w:val="Normal"/>
    <w:uiPriority w:val="9"/>
    <w:unhideWhenUsed/>
    <w:qFormat/>
    <w:pPr>
      <w:ind w:left="740" w:hanging="2512"/>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9"/>
      <w:ind w:left="585"/>
    </w:pPr>
    <w:rPr>
      <w:sz w:val="24"/>
      <w:szCs w:val="24"/>
    </w:rPr>
  </w:style>
  <w:style w:type="paragraph" w:styleId="Title">
    <w:name w:val="Title"/>
    <w:basedOn w:val="Normal"/>
    <w:uiPriority w:val="10"/>
    <w:qFormat/>
    <w:pPr>
      <w:spacing w:before="83"/>
      <w:ind w:left="3009" w:right="3041"/>
      <w:jc w:val="center"/>
    </w:pPr>
    <w:rPr>
      <w:sz w:val="52"/>
      <w:szCs w:val="52"/>
    </w:rPr>
  </w:style>
  <w:style w:type="paragraph" w:styleId="ListParagraph">
    <w:name w:val="List Paragraph"/>
    <w:basedOn w:val="Normal"/>
    <w:uiPriority w:val="1"/>
    <w:qFormat/>
    <w:pPr>
      <w:spacing w:before="59"/>
      <w:ind w:left="585" w:hanging="29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79AF"/>
    <w:pPr>
      <w:tabs>
        <w:tab w:val="center" w:pos="4419"/>
        <w:tab w:val="right" w:pos="8838"/>
      </w:tabs>
    </w:pPr>
  </w:style>
  <w:style w:type="character" w:customStyle="1" w:styleId="HeaderChar">
    <w:name w:val="Header Char"/>
    <w:basedOn w:val="DefaultParagraphFont"/>
    <w:link w:val="Header"/>
    <w:uiPriority w:val="99"/>
    <w:rsid w:val="000279AF"/>
    <w:rPr>
      <w:rFonts w:ascii="Arial MT" w:eastAsia="Arial MT" w:hAnsi="Arial MT" w:cs="Arial MT"/>
    </w:rPr>
  </w:style>
  <w:style w:type="paragraph" w:styleId="Footer">
    <w:name w:val="footer"/>
    <w:basedOn w:val="Normal"/>
    <w:link w:val="FooterChar"/>
    <w:uiPriority w:val="99"/>
    <w:unhideWhenUsed/>
    <w:rsid w:val="000279AF"/>
    <w:pPr>
      <w:tabs>
        <w:tab w:val="center" w:pos="4419"/>
        <w:tab w:val="right" w:pos="8838"/>
      </w:tabs>
    </w:pPr>
  </w:style>
  <w:style w:type="character" w:customStyle="1" w:styleId="FooterChar">
    <w:name w:val="Footer Char"/>
    <w:basedOn w:val="DefaultParagraphFont"/>
    <w:link w:val="Footer"/>
    <w:uiPriority w:val="99"/>
    <w:rsid w:val="000279AF"/>
    <w:rPr>
      <w:rFonts w:ascii="Arial MT" w:eastAsia="Arial MT" w:hAnsi="Arial MT" w:cs="Arial MT"/>
    </w:rPr>
  </w:style>
  <w:style w:type="character" w:styleId="Hyperlink">
    <w:name w:val="Hyperlink"/>
    <w:basedOn w:val="DefaultParagraphFont"/>
    <w:uiPriority w:val="99"/>
    <w:unhideWhenUsed/>
    <w:rsid w:val="000279AF"/>
    <w:rPr>
      <w:color w:val="0000FF" w:themeColor="hyperlink"/>
      <w:u w:val="single"/>
    </w:rPr>
  </w:style>
  <w:style w:type="character" w:styleId="UnresolvedMention">
    <w:name w:val="Unresolved Mention"/>
    <w:basedOn w:val="DefaultParagraphFont"/>
    <w:uiPriority w:val="99"/>
    <w:semiHidden/>
    <w:unhideWhenUsed/>
    <w:rsid w:val="00027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802recycles.com/"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190D478C-C51E-40E2-BAB7-3CB480CBC5F9}"/>
</file>

<file path=customXml/itemProps2.xml><?xml version="1.0" encoding="utf-8"?>
<ds:datastoreItem xmlns:ds="http://schemas.openxmlformats.org/officeDocument/2006/customXml" ds:itemID="{448B0116-F745-4F46-BC85-E24A74D401F8}"/>
</file>

<file path=customXml/itemProps3.xml><?xml version="1.0" encoding="utf-8"?>
<ds:datastoreItem xmlns:ds="http://schemas.openxmlformats.org/officeDocument/2006/customXml" ds:itemID="{B45C8220-14CD-4AA5-A22F-5E544A5C91EB}"/>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2457</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2023-07-18T16:27:00Z</dcterms:created>
  <dcterms:modified xsi:type="dcterms:W3CDTF">2023-07-19T18:54:00Z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