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3ABA" w14:textId="77777777" w:rsidR="00192F5C" w:rsidRPr="00D82B3C" w:rsidRDefault="00A16095">
      <w:pPr>
        <w:pStyle w:val="BodyText"/>
        <w:spacing w:before="80" w:line="275" w:lineRule="exact"/>
        <w:ind w:left="740"/>
        <w:rPr>
          <w:sz w:val="22"/>
          <w:szCs w:val="22"/>
        </w:rPr>
      </w:pPr>
      <w:r w:rsidRPr="00D82B3C">
        <w:rPr>
          <w:noProof/>
          <w:sz w:val="22"/>
          <w:szCs w:val="22"/>
          <w:lang w:bidi="es-US"/>
        </w:rPr>
        <w:drawing>
          <wp:anchor distT="0" distB="0" distL="0" distR="0" simplePos="0" relativeHeight="251656192" behindDoc="0" locked="0" layoutInCell="1" allowOverlap="1" wp14:anchorId="286C10ED" wp14:editId="54D21D9A">
            <wp:simplePos x="0" y="0"/>
            <wp:positionH relativeFrom="page">
              <wp:posOffset>457200</wp:posOffset>
            </wp:positionH>
            <wp:positionV relativeFrom="paragraph">
              <wp:posOffset>50505</wp:posOffset>
            </wp:positionV>
            <wp:extent cx="240722" cy="3652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0722" cy="365239"/>
                    </a:xfrm>
                    <a:prstGeom prst="rect">
                      <a:avLst/>
                    </a:prstGeom>
                  </pic:spPr>
                </pic:pic>
              </a:graphicData>
            </a:graphic>
          </wp:anchor>
        </w:drawing>
      </w:r>
      <w:r w:rsidRPr="00D82B3C">
        <w:rPr>
          <w:color w:val="2F2F2F"/>
          <w:sz w:val="22"/>
          <w:szCs w:val="22"/>
          <w:lang w:bidi="es-US"/>
        </w:rPr>
        <w:t>Estado de Vermont, Agencia de Recursos Naturales</w:t>
      </w:r>
    </w:p>
    <w:p w14:paraId="03E9CB1D" w14:textId="77777777" w:rsidR="00192F5C" w:rsidRPr="00D82B3C" w:rsidRDefault="00A16095">
      <w:pPr>
        <w:pStyle w:val="Heading2"/>
        <w:spacing w:line="275" w:lineRule="exact"/>
        <w:ind w:firstLine="0"/>
        <w:rPr>
          <w:rFonts w:ascii="Arial MT" w:hAnsi="Arial MT"/>
          <w:sz w:val="22"/>
          <w:szCs w:val="22"/>
        </w:rPr>
      </w:pPr>
      <w:r w:rsidRPr="00D82B3C">
        <w:rPr>
          <w:color w:val="2F2F2F"/>
          <w:sz w:val="22"/>
          <w:szCs w:val="22"/>
          <w:lang w:bidi="es-US"/>
        </w:rPr>
        <w:t>Recursos para la recuperación tras una inundación</w:t>
      </w:r>
    </w:p>
    <w:p w14:paraId="3B21CD56" w14:textId="77777777" w:rsidR="00192F5C" w:rsidRPr="00D82B3C" w:rsidRDefault="00000000">
      <w:pPr>
        <w:pStyle w:val="BodyText"/>
        <w:spacing w:before="10"/>
        <w:ind w:left="0"/>
        <w:rPr>
          <w:b/>
          <w:sz w:val="18"/>
          <w:szCs w:val="22"/>
        </w:rPr>
      </w:pPr>
      <w:r w:rsidRPr="00D82B3C">
        <w:rPr>
          <w:sz w:val="22"/>
          <w:szCs w:val="22"/>
          <w:lang w:bidi="es-US"/>
        </w:rPr>
        <w:pict w14:anchorId="1BC67E0E">
          <v:shape id="_x0000_s2054" style="position:absolute;margin-left:36.05pt;margin-top:14pt;width:540.25pt;height:.5pt;z-index:-15728640;mso-wrap-distance-left:0;mso-wrap-distance-right:0;mso-position-horizontal-relative:page" coordorigin="721,280" coordsize="10805,10" o:spt="100" adj="0,,0" path="m11520,280l726,280r-5,l721,285r,5l726,290r10794,l11520,285r,-5xm11525,280r-5,l11520,285r,5l11525,290r,-5l11525,280xe" fillcolor="#9f9f9f" stroked="f">
            <v:stroke joinstyle="round"/>
            <v:formulas/>
            <v:path arrowok="t" o:connecttype="segments"/>
            <w10:wrap type="topAndBottom" anchorx="page"/>
          </v:shape>
        </w:pict>
      </w:r>
    </w:p>
    <w:p w14:paraId="1ACF1FC1" w14:textId="77777777" w:rsidR="00192F5C" w:rsidRPr="00D82B3C" w:rsidRDefault="00192F5C">
      <w:pPr>
        <w:pStyle w:val="BodyText"/>
        <w:spacing w:before="9"/>
        <w:ind w:left="0"/>
        <w:rPr>
          <w:b/>
          <w:sz w:val="12"/>
          <w:szCs w:val="22"/>
        </w:rPr>
      </w:pPr>
    </w:p>
    <w:p w14:paraId="1701FBD8" w14:textId="77777777" w:rsidR="00192F5C" w:rsidRPr="00D82B3C" w:rsidRDefault="00A16095" w:rsidP="00D82B3C">
      <w:pPr>
        <w:pStyle w:val="Title"/>
        <w:ind w:left="0" w:right="63"/>
        <w:rPr>
          <w:sz w:val="50"/>
          <w:szCs w:val="50"/>
        </w:rPr>
      </w:pPr>
      <w:bookmarkStart w:id="0" w:name="Flood_Debris_Cleanup"/>
      <w:bookmarkEnd w:id="0"/>
      <w:r w:rsidRPr="00D82B3C">
        <w:rPr>
          <w:color w:val="007940"/>
          <w:sz w:val="50"/>
          <w:szCs w:val="50"/>
          <w:lang w:bidi="es-US"/>
        </w:rPr>
        <w:t>Limpieza de escombros de inundaciones</w:t>
      </w:r>
    </w:p>
    <w:p w14:paraId="422740F2" w14:textId="18F37651" w:rsidR="00192F5C" w:rsidRPr="00D82B3C" w:rsidRDefault="00A16095">
      <w:pPr>
        <w:pStyle w:val="BodyText"/>
        <w:spacing w:before="145"/>
        <w:ind w:left="140" w:right="171"/>
        <w:jc w:val="both"/>
        <w:rPr>
          <w:sz w:val="22"/>
          <w:szCs w:val="22"/>
        </w:rPr>
      </w:pPr>
      <w:r w:rsidRPr="00D82B3C">
        <w:rPr>
          <w:color w:val="2F2F2F"/>
          <w:sz w:val="22"/>
          <w:szCs w:val="22"/>
          <w:lang w:bidi="es-US"/>
        </w:rPr>
        <w:t xml:space="preserve">Después de una inundación, la mayoría de los escombros se pueden desechar en un solo contenedor. Los materiales reciclables dañados por una inundación o los desperdicios de alimentos se pueden tirar a la basura. La limpieza de pintura, productos químicos, aceite, gas, pesticidas y otros materiales peligrosos en sótanos y propiedades dañadas por una inundación requieren de un tratamiento especial. Para proteger a los trabajadores de desechos sólidos y al medio ambiente, es fundamental que los residentes, las empresas, los contratistas y los equipos de limpieza </w:t>
      </w:r>
      <w:r w:rsidRPr="00D82B3C">
        <w:rPr>
          <w:color w:val="2F2F2F"/>
          <w:sz w:val="22"/>
          <w:szCs w:val="22"/>
          <w:u w:val="single"/>
          <w:lang w:bidi="es-US"/>
        </w:rPr>
        <w:t>separen estos artículos peligrosos de la basura</w:t>
      </w:r>
      <w:r w:rsidRPr="00D82B3C">
        <w:rPr>
          <w:color w:val="2F2F2F"/>
          <w:sz w:val="22"/>
          <w:szCs w:val="22"/>
          <w:lang w:bidi="es-US"/>
        </w:rPr>
        <w:t>.</w:t>
      </w:r>
    </w:p>
    <w:p w14:paraId="76F35595" w14:textId="77777777" w:rsidR="00192F5C" w:rsidRPr="00D82B3C" w:rsidRDefault="00192F5C">
      <w:pPr>
        <w:pStyle w:val="BodyText"/>
        <w:spacing w:before="2"/>
        <w:ind w:left="0"/>
        <w:rPr>
          <w:sz w:val="22"/>
          <w:szCs w:val="22"/>
        </w:rPr>
      </w:pPr>
    </w:p>
    <w:p w14:paraId="702734E1" w14:textId="77777777" w:rsidR="00192F5C" w:rsidRPr="00D82B3C" w:rsidRDefault="00A16095">
      <w:pPr>
        <w:pStyle w:val="Heading1"/>
        <w:rPr>
          <w:rFonts w:ascii="Arial MT" w:hAnsi="Arial MT"/>
          <w:sz w:val="26"/>
          <w:szCs w:val="24"/>
        </w:rPr>
      </w:pPr>
      <w:r w:rsidRPr="00D82B3C">
        <w:rPr>
          <w:sz w:val="24"/>
          <w:szCs w:val="24"/>
          <w:lang w:bidi="es-US"/>
        </w:rPr>
        <w:t>Mantenga estos artículos separados de la basura:</w:t>
      </w:r>
    </w:p>
    <w:p w14:paraId="2B249067" w14:textId="77777777" w:rsidR="00192F5C" w:rsidRPr="00D82B3C" w:rsidRDefault="00192F5C">
      <w:pPr>
        <w:rPr>
          <w:sz w:val="20"/>
          <w:szCs w:val="20"/>
        </w:rPr>
        <w:sectPr w:rsidR="00192F5C" w:rsidRPr="00D82B3C" w:rsidSect="00D82B3C">
          <w:footerReference w:type="default" r:id="rId8"/>
          <w:type w:val="continuous"/>
          <w:pgSz w:w="12240" w:h="15840"/>
          <w:pgMar w:top="640" w:right="540" w:bottom="1985" w:left="580" w:header="720" w:footer="720" w:gutter="0"/>
          <w:cols w:space="720"/>
        </w:sectPr>
      </w:pPr>
    </w:p>
    <w:p w14:paraId="34C49237" w14:textId="77777777" w:rsidR="00192F5C" w:rsidRPr="00D82B3C" w:rsidRDefault="00A16095">
      <w:pPr>
        <w:pStyle w:val="ListParagraph"/>
        <w:numPr>
          <w:ilvl w:val="0"/>
          <w:numId w:val="2"/>
        </w:numPr>
        <w:tabs>
          <w:tab w:val="left" w:pos="586"/>
        </w:tabs>
        <w:spacing w:before="121"/>
        <w:ind w:right="101"/>
        <w:rPr>
          <w:szCs w:val="20"/>
        </w:rPr>
      </w:pPr>
      <w:r w:rsidRPr="00D82B3C">
        <w:rPr>
          <w:color w:val="2F2F2F"/>
          <w:szCs w:val="20"/>
          <w:lang w:bidi="es-US"/>
        </w:rPr>
        <w:t>Residuos peligrosos, tales como tóxicos, pesticidas, explosivos, gasolina, aceite, productos químicos para piscinas, ácidos, limpiadores de desagües, fuegos artificiales, bengalas, municiones y “objetos punzocortantes” sin protección</w:t>
      </w:r>
    </w:p>
    <w:p w14:paraId="742A16CD" w14:textId="77777777" w:rsidR="00192F5C" w:rsidRPr="00D82B3C" w:rsidRDefault="00A16095">
      <w:pPr>
        <w:pStyle w:val="ListParagraph"/>
        <w:numPr>
          <w:ilvl w:val="0"/>
          <w:numId w:val="2"/>
        </w:numPr>
        <w:tabs>
          <w:tab w:val="left" w:pos="586"/>
        </w:tabs>
        <w:spacing w:before="121"/>
        <w:ind w:hanging="291"/>
        <w:rPr>
          <w:szCs w:val="20"/>
        </w:rPr>
      </w:pPr>
      <w:r w:rsidRPr="00D82B3C">
        <w:rPr>
          <w:color w:val="2F2F2F"/>
          <w:szCs w:val="20"/>
          <w:lang w:bidi="es-US"/>
        </w:rPr>
        <w:t>Aceite, limpiador de frenos y otros productos tóxicos para automóviles</w:t>
      </w:r>
    </w:p>
    <w:p w14:paraId="0DB9B9FA" w14:textId="77777777" w:rsidR="00192F5C" w:rsidRPr="00D82B3C" w:rsidRDefault="00A16095">
      <w:pPr>
        <w:pStyle w:val="ListParagraph"/>
        <w:numPr>
          <w:ilvl w:val="0"/>
          <w:numId w:val="2"/>
        </w:numPr>
        <w:tabs>
          <w:tab w:val="left" w:pos="586"/>
        </w:tabs>
        <w:spacing w:before="119"/>
        <w:ind w:hanging="291"/>
        <w:rPr>
          <w:szCs w:val="20"/>
        </w:rPr>
      </w:pPr>
      <w:r w:rsidRPr="00D82B3C">
        <w:rPr>
          <w:color w:val="2F2F2F"/>
          <w:szCs w:val="20"/>
          <w:lang w:bidi="es-US"/>
        </w:rPr>
        <w:t>Pintura, tinte, barniz, diluyente/decapante de pintura</w:t>
      </w:r>
    </w:p>
    <w:p w14:paraId="292056E8" w14:textId="77777777" w:rsidR="00192F5C" w:rsidRPr="00D82B3C" w:rsidRDefault="00A16095">
      <w:pPr>
        <w:pStyle w:val="ListParagraph"/>
        <w:numPr>
          <w:ilvl w:val="0"/>
          <w:numId w:val="2"/>
        </w:numPr>
        <w:tabs>
          <w:tab w:val="left" w:pos="586"/>
        </w:tabs>
        <w:spacing w:before="119"/>
        <w:ind w:hanging="291"/>
        <w:rPr>
          <w:szCs w:val="20"/>
        </w:rPr>
      </w:pPr>
      <w:r w:rsidRPr="00D82B3C">
        <w:rPr>
          <w:color w:val="2F2F2F"/>
          <w:szCs w:val="20"/>
          <w:lang w:bidi="es-US"/>
        </w:rPr>
        <w:t>Cilindros de propano y otros cilindros de gas</w:t>
      </w:r>
    </w:p>
    <w:p w14:paraId="58B2C6C4" w14:textId="77777777" w:rsidR="00192F5C" w:rsidRPr="00D82B3C" w:rsidRDefault="00A16095">
      <w:pPr>
        <w:pStyle w:val="ListParagraph"/>
        <w:numPr>
          <w:ilvl w:val="0"/>
          <w:numId w:val="2"/>
        </w:numPr>
        <w:tabs>
          <w:tab w:val="left" w:pos="586"/>
        </w:tabs>
        <w:spacing w:before="120"/>
        <w:ind w:hanging="291"/>
        <w:rPr>
          <w:szCs w:val="20"/>
        </w:rPr>
      </w:pPr>
      <w:r w:rsidRPr="00D82B3C">
        <w:rPr>
          <w:color w:val="2F2F2F"/>
          <w:szCs w:val="20"/>
          <w:lang w:bidi="es-US"/>
        </w:rPr>
        <w:t>Residuos peligrosos</w:t>
      </w:r>
    </w:p>
    <w:p w14:paraId="5D8027CA" w14:textId="77777777" w:rsidR="00192F5C" w:rsidRPr="00D82B3C" w:rsidRDefault="00A16095">
      <w:pPr>
        <w:pStyle w:val="ListParagraph"/>
        <w:numPr>
          <w:ilvl w:val="0"/>
          <w:numId w:val="2"/>
        </w:numPr>
        <w:tabs>
          <w:tab w:val="left" w:pos="586"/>
        </w:tabs>
        <w:spacing w:before="181"/>
        <w:ind w:hanging="291"/>
        <w:rPr>
          <w:szCs w:val="20"/>
        </w:rPr>
      </w:pPr>
      <w:r w:rsidRPr="00D82B3C">
        <w:rPr>
          <w:color w:val="2F2F2F"/>
          <w:szCs w:val="20"/>
          <w:lang w:bidi="es-US"/>
        </w:rPr>
        <w:br w:type="column"/>
      </w:r>
      <w:r w:rsidRPr="00D82B3C">
        <w:rPr>
          <w:color w:val="2F2F2F"/>
          <w:szCs w:val="20"/>
          <w:lang w:bidi="es-US"/>
        </w:rPr>
        <w:t>Baterías</w:t>
      </w:r>
    </w:p>
    <w:p w14:paraId="18836161" w14:textId="77777777" w:rsidR="00192F5C" w:rsidRPr="00D82B3C" w:rsidRDefault="00A16095">
      <w:pPr>
        <w:pStyle w:val="ListParagraph"/>
        <w:numPr>
          <w:ilvl w:val="0"/>
          <w:numId w:val="2"/>
        </w:numPr>
        <w:tabs>
          <w:tab w:val="left" w:pos="586"/>
        </w:tabs>
        <w:ind w:hanging="291"/>
        <w:rPr>
          <w:szCs w:val="20"/>
        </w:rPr>
      </w:pPr>
      <w:r w:rsidRPr="00D82B3C">
        <w:rPr>
          <w:color w:val="2F2F2F"/>
          <w:szCs w:val="20"/>
          <w:lang w:bidi="es-US"/>
        </w:rPr>
        <w:t>Electrónicos</w:t>
      </w:r>
    </w:p>
    <w:p w14:paraId="033B766C" w14:textId="77777777" w:rsidR="00192F5C" w:rsidRPr="00D82B3C" w:rsidRDefault="00A16095">
      <w:pPr>
        <w:pStyle w:val="ListParagraph"/>
        <w:numPr>
          <w:ilvl w:val="0"/>
          <w:numId w:val="2"/>
        </w:numPr>
        <w:tabs>
          <w:tab w:val="left" w:pos="586"/>
        </w:tabs>
        <w:ind w:right="724"/>
        <w:rPr>
          <w:szCs w:val="20"/>
        </w:rPr>
      </w:pPr>
      <w:r w:rsidRPr="00D82B3C">
        <w:rPr>
          <w:color w:val="2F2F2F"/>
          <w:szCs w:val="20"/>
          <w:lang w:bidi="es-US"/>
        </w:rPr>
        <w:t>Productos de mercurio, tales como bombillas fluorescentes, termostatos y termómetros</w:t>
      </w:r>
    </w:p>
    <w:p w14:paraId="1B3AB8D8" w14:textId="77777777" w:rsidR="00192F5C" w:rsidRPr="00D82B3C" w:rsidRDefault="00A16095">
      <w:pPr>
        <w:pStyle w:val="ListParagraph"/>
        <w:numPr>
          <w:ilvl w:val="0"/>
          <w:numId w:val="2"/>
        </w:numPr>
        <w:tabs>
          <w:tab w:val="left" w:pos="586"/>
        </w:tabs>
        <w:spacing w:before="63"/>
        <w:ind w:hanging="291"/>
        <w:rPr>
          <w:szCs w:val="20"/>
        </w:rPr>
      </w:pPr>
      <w:r w:rsidRPr="00D82B3C">
        <w:rPr>
          <w:color w:val="2F2F2F"/>
          <w:szCs w:val="20"/>
          <w:lang w:bidi="es-US"/>
        </w:rPr>
        <w:t>Neumáticos</w:t>
      </w:r>
    </w:p>
    <w:p w14:paraId="36D2055F" w14:textId="77777777" w:rsidR="00192F5C" w:rsidRPr="00D82B3C" w:rsidRDefault="00A16095">
      <w:pPr>
        <w:pStyle w:val="ListParagraph"/>
        <w:numPr>
          <w:ilvl w:val="0"/>
          <w:numId w:val="2"/>
        </w:numPr>
        <w:tabs>
          <w:tab w:val="left" w:pos="586"/>
        </w:tabs>
        <w:ind w:right="311"/>
        <w:rPr>
          <w:szCs w:val="20"/>
        </w:rPr>
      </w:pPr>
      <w:r w:rsidRPr="00D82B3C">
        <w:rPr>
          <w:color w:val="2F2F2F"/>
          <w:szCs w:val="20"/>
          <w:lang w:bidi="es-US"/>
        </w:rPr>
        <w:t>Chatarra y electrodomésticos grandes, tales como refrigeradores, congeladores, estufas, lavadoras y secadoras</w:t>
      </w:r>
    </w:p>
    <w:p w14:paraId="3224E242" w14:textId="77777777" w:rsidR="00192F5C" w:rsidRPr="00D82B3C" w:rsidRDefault="00192F5C">
      <w:pPr>
        <w:rPr>
          <w:szCs w:val="20"/>
        </w:rPr>
        <w:sectPr w:rsidR="00192F5C" w:rsidRPr="00D82B3C">
          <w:type w:val="continuous"/>
          <w:pgSz w:w="12240" w:h="15840"/>
          <w:pgMar w:top="640" w:right="540" w:bottom="280" w:left="580" w:header="720" w:footer="720" w:gutter="0"/>
          <w:cols w:num="2" w:space="720" w:equalWidth="0">
            <w:col w:w="5133" w:space="629"/>
            <w:col w:w="5358"/>
          </w:cols>
        </w:sectPr>
      </w:pPr>
    </w:p>
    <w:p w14:paraId="4C08C229" w14:textId="77777777" w:rsidR="00192F5C" w:rsidRPr="00D82B3C" w:rsidRDefault="00192F5C">
      <w:pPr>
        <w:pStyle w:val="BodyText"/>
        <w:spacing w:before="2"/>
        <w:ind w:left="0"/>
        <w:rPr>
          <w:sz w:val="14"/>
          <w:szCs w:val="22"/>
        </w:rPr>
      </w:pPr>
    </w:p>
    <w:p w14:paraId="070D83FA" w14:textId="52F6E307" w:rsidR="00192F5C" w:rsidRPr="00D82B3C" w:rsidRDefault="00A16095">
      <w:pPr>
        <w:pStyle w:val="BodyText"/>
        <w:spacing w:before="93"/>
        <w:ind w:left="140" w:right="172"/>
        <w:jc w:val="both"/>
        <w:rPr>
          <w:sz w:val="22"/>
          <w:szCs w:val="22"/>
        </w:rPr>
      </w:pPr>
      <w:r w:rsidRPr="00D82B3C">
        <w:rPr>
          <w:color w:val="2F2F2F"/>
          <w:sz w:val="22"/>
          <w:szCs w:val="22"/>
          <w:lang w:bidi="es-US"/>
        </w:rPr>
        <w:t xml:space="preserve">Los servicios de recolección de desechos domésticos peligrosos pueden estar disponibles por parte de las Entidades de Control de Residuos Sólidos (SWME). Obtenga más información comunicándose con su SWME en </w:t>
      </w:r>
      <w:hyperlink r:id="rId9" w:history="1">
        <w:r w:rsidR="000279AF" w:rsidRPr="00D82B3C">
          <w:rPr>
            <w:rStyle w:val="Hyperlink"/>
            <w:color w:val="4F81BD" w:themeColor="accent1"/>
            <w:sz w:val="22"/>
            <w:szCs w:val="22"/>
            <w:lang w:bidi="es-US"/>
          </w:rPr>
          <w:t>802recycles.com</w:t>
        </w:r>
      </w:hyperlink>
      <w:r w:rsidRPr="00D82B3C">
        <w:rPr>
          <w:color w:val="2F2F2F"/>
          <w:sz w:val="22"/>
          <w:szCs w:val="22"/>
          <w:lang w:bidi="es-US"/>
        </w:rPr>
        <w:t>, aunque algunos de estos artículos podrían aceptarse en su estación de transferencia local.</w:t>
      </w:r>
    </w:p>
    <w:p w14:paraId="2C8CC292" w14:textId="77777777" w:rsidR="00192F5C" w:rsidRPr="00D82B3C" w:rsidRDefault="00192F5C">
      <w:pPr>
        <w:pStyle w:val="BodyText"/>
        <w:spacing w:before="10"/>
        <w:ind w:left="0"/>
        <w:rPr>
          <w:sz w:val="21"/>
          <w:szCs w:val="22"/>
        </w:rPr>
      </w:pPr>
    </w:p>
    <w:p w14:paraId="2F113016" w14:textId="77777777" w:rsidR="00192F5C" w:rsidRPr="00D82B3C" w:rsidRDefault="00A16095">
      <w:pPr>
        <w:pStyle w:val="Heading1"/>
        <w:rPr>
          <w:rFonts w:ascii="Arial MT" w:hAnsi="Arial MT"/>
          <w:sz w:val="26"/>
          <w:szCs w:val="24"/>
        </w:rPr>
      </w:pPr>
      <w:r w:rsidRPr="00D82B3C">
        <w:rPr>
          <w:sz w:val="24"/>
          <w:szCs w:val="24"/>
          <w:lang w:bidi="es-US"/>
        </w:rPr>
        <w:t>Otros Consejos:</w:t>
      </w:r>
    </w:p>
    <w:p w14:paraId="416E75B0" w14:textId="77777777" w:rsidR="00192F5C" w:rsidRPr="00D82B3C" w:rsidRDefault="00A16095">
      <w:pPr>
        <w:pStyle w:val="ListParagraph"/>
        <w:numPr>
          <w:ilvl w:val="0"/>
          <w:numId w:val="1"/>
        </w:numPr>
        <w:tabs>
          <w:tab w:val="left" w:pos="585"/>
          <w:tab w:val="left" w:pos="586"/>
        </w:tabs>
        <w:spacing w:before="121"/>
        <w:ind w:hanging="361"/>
        <w:rPr>
          <w:szCs w:val="20"/>
        </w:rPr>
      </w:pPr>
      <w:r w:rsidRPr="00D82B3C">
        <w:rPr>
          <w:color w:val="2F2F2F"/>
          <w:szCs w:val="20"/>
          <w:lang w:bidi="es-US"/>
        </w:rPr>
        <w:t>¡Manténgase a salvo! Use guantes y protección para los ojos. Manipule los productos químicos domésticos con cuidado.</w:t>
      </w:r>
    </w:p>
    <w:p w14:paraId="45A5B588" w14:textId="77777777" w:rsidR="00192F5C" w:rsidRPr="00D82B3C" w:rsidRDefault="00A16095">
      <w:pPr>
        <w:pStyle w:val="ListParagraph"/>
        <w:numPr>
          <w:ilvl w:val="0"/>
          <w:numId w:val="1"/>
        </w:numPr>
        <w:tabs>
          <w:tab w:val="left" w:pos="585"/>
          <w:tab w:val="left" w:pos="586"/>
        </w:tabs>
        <w:ind w:hanging="361"/>
        <w:rPr>
          <w:szCs w:val="20"/>
        </w:rPr>
      </w:pPr>
      <w:r w:rsidRPr="00D82B3C">
        <w:rPr>
          <w:color w:val="2F2F2F"/>
          <w:szCs w:val="20"/>
          <w:lang w:bidi="es-US"/>
        </w:rPr>
        <w:t>Mantenga los materiales fuera del alcance de niños y mascotas.</w:t>
      </w:r>
    </w:p>
    <w:p w14:paraId="0131FF06" w14:textId="77777777" w:rsidR="00192F5C" w:rsidRPr="00D82B3C" w:rsidRDefault="00A16095">
      <w:pPr>
        <w:pStyle w:val="ListParagraph"/>
        <w:numPr>
          <w:ilvl w:val="0"/>
          <w:numId w:val="1"/>
        </w:numPr>
        <w:tabs>
          <w:tab w:val="left" w:pos="585"/>
          <w:tab w:val="left" w:pos="586"/>
        </w:tabs>
        <w:ind w:hanging="361"/>
        <w:rPr>
          <w:szCs w:val="20"/>
        </w:rPr>
      </w:pPr>
      <w:r w:rsidRPr="00D82B3C">
        <w:rPr>
          <w:color w:val="2F2F2F"/>
          <w:szCs w:val="20"/>
          <w:lang w:bidi="es-US"/>
        </w:rPr>
        <w:t>Si un artículo tiene una fuga, coloque el recipiente en una cubeta.</w:t>
      </w:r>
    </w:p>
    <w:p w14:paraId="761129C5" w14:textId="77777777" w:rsidR="00192F5C" w:rsidRPr="00D82B3C" w:rsidRDefault="00A16095">
      <w:pPr>
        <w:pStyle w:val="ListParagraph"/>
        <w:numPr>
          <w:ilvl w:val="0"/>
          <w:numId w:val="1"/>
        </w:numPr>
        <w:tabs>
          <w:tab w:val="left" w:pos="585"/>
          <w:tab w:val="left" w:pos="586"/>
        </w:tabs>
        <w:spacing w:before="60"/>
        <w:ind w:hanging="361"/>
        <w:rPr>
          <w:szCs w:val="20"/>
        </w:rPr>
      </w:pPr>
      <w:r w:rsidRPr="00D82B3C">
        <w:rPr>
          <w:color w:val="2F2F2F"/>
          <w:szCs w:val="20"/>
          <w:lang w:bidi="es-US"/>
        </w:rPr>
        <w:t>No mezcle productos químicos, ni los vierta por el desagüe o en el suelo.</w:t>
      </w:r>
    </w:p>
    <w:p w14:paraId="0B7C6B4C" w14:textId="77777777" w:rsidR="00192F5C" w:rsidRPr="00D82B3C" w:rsidRDefault="00192F5C">
      <w:pPr>
        <w:pStyle w:val="BodyText"/>
        <w:spacing w:before="0"/>
        <w:ind w:left="0"/>
        <w:rPr>
          <w:sz w:val="18"/>
          <w:szCs w:val="22"/>
        </w:rPr>
      </w:pPr>
    </w:p>
    <w:p w14:paraId="3F2D03DF" w14:textId="77777777" w:rsidR="00192F5C" w:rsidRPr="00D82B3C" w:rsidRDefault="00000000">
      <w:pPr>
        <w:pStyle w:val="BodyText"/>
        <w:spacing w:before="3"/>
        <w:ind w:left="0"/>
        <w:rPr>
          <w:sz w:val="9"/>
          <w:szCs w:val="22"/>
        </w:rPr>
      </w:pPr>
      <w:r w:rsidRPr="00D82B3C">
        <w:rPr>
          <w:sz w:val="22"/>
          <w:szCs w:val="22"/>
          <w:lang w:bidi="es-US"/>
        </w:rPr>
        <w:pict w14:anchorId="016FF933">
          <v:rect id="_x0000_s2051" style="position:absolute;margin-left:34.55pt;margin-top:8.45pt;width:543.2pt;height:.5pt;z-index:-15728128;mso-wrap-distance-left:0;mso-wrap-distance-right:0;mso-position-horizontal-relative:page" fillcolor="#007935" stroked="f">
            <w10:wrap type="topAndBottom" anchorx="page"/>
          </v:rect>
        </w:pict>
      </w:r>
    </w:p>
    <w:p w14:paraId="5D46B70E" w14:textId="239D3AD5" w:rsidR="000279AF" w:rsidRPr="000279AF" w:rsidRDefault="00000000" w:rsidP="000279AF">
      <w:pPr>
        <w:pStyle w:val="Heading2"/>
        <w:spacing w:before="171"/>
        <w:ind w:left="3381" w:right="377"/>
        <w:rPr>
          <w:rFonts w:ascii="Arial MT" w:hAnsi="Arial MT"/>
          <w:color w:val="007935"/>
          <w:sz w:val="8"/>
          <w:szCs w:val="2"/>
        </w:rPr>
      </w:pPr>
      <w:r w:rsidRPr="00D82B3C">
        <w:rPr>
          <w:b w:val="0"/>
          <w:sz w:val="22"/>
          <w:szCs w:val="22"/>
          <w:lang w:bidi="es-US"/>
        </w:rPr>
        <w:pict w14:anchorId="3FB7C2AA">
          <v:rect id="_x0000_s2050" style="position:absolute;left:0;text-align:left;margin-left:34.55pt;margin-top:49.65pt;width:543.2pt;height:.5pt;z-index:-15727616;mso-wrap-distance-left:0;mso-wrap-distance-right:0;mso-position-horizontal-relative:page" fillcolor="#007935" stroked="f">
            <w10:wrap type="topAndBottom" anchorx="page"/>
          </v:rect>
        </w:pict>
      </w:r>
      <w:r w:rsidR="00A16095" w:rsidRPr="00D82B3C">
        <w:rPr>
          <w:color w:val="007935"/>
          <w:sz w:val="22"/>
          <w:szCs w:val="22"/>
          <w:lang w:bidi="es-US"/>
        </w:rPr>
        <w:t>Si tiene preguntas, comuníquese con el Programa de Desechos Sólidos del Departamento de Conservación Medioambiental de Vermont llamando al 802-828-1138.</w:t>
      </w:r>
    </w:p>
    <w:p w14:paraId="6D4ADF56" w14:textId="6F320E7A" w:rsidR="00192F5C" w:rsidRPr="00D82B3C" w:rsidRDefault="00192F5C" w:rsidP="000279AF">
      <w:pPr>
        <w:pStyle w:val="BodyText"/>
        <w:spacing w:before="10"/>
        <w:ind w:left="0"/>
        <w:rPr>
          <w:b/>
          <w:sz w:val="11"/>
          <w:szCs w:val="22"/>
        </w:rPr>
      </w:pPr>
    </w:p>
    <w:p w14:paraId="6C66DC8D" w14:textId="77777777" w:rsidR="00192F5C" w:rsidRPr="00D82B3C" w:rsidRDefault="00A16095">
      <w:pPr>
        <w:spacing w:before="94" w:line="206" w:lineRule="exact"/>
        <w:ind w:left="140"/>
        <w:jc w:val="both"/>
        <w:rPr>
          <w:b/>
          <w:sz w:val="16"/>
          <w:szCs w:val="20"/>
        </w:rPr>
      </w:pPr>
      <w:r w:rsidRPr="00D82B3C">
        <w:rPr>
          <w:b/>
          <w:color w:val="2F2F2F"/>
          <w:sz w:val="16"/>
          <w:szCs w:val="20"/>
          <w:lang w:bidi="es-US"/>
        </w:rPr>
        <w:t>Aviso de no discriminación:</w:t>
      </w:r>
    </w:p>
    <w:p w14:paraId="4128063B" w14:textId="489B05B8" w:rsidR="00192F5C" w:rsidRPr="00D82B3C" w:rsidRDefault="00A16095">
      <w:pPr>
        <w:ind w:left="140" w:right="174"/>
        <w:jc w:val="both"/>
        <w:rPr>
          <w:sz w:val="16"/>
          <w:szCs w:val="20"/>
        </w:rPr>
      </w:pPr>
      <w:r w:rsidRPr="00D82B3C">
        <w:rPr>
          <w:color w:val="2F2F2F"/>
          <w:sz w:val="16"/>
          <w:szCs w:val="20"/>
          <w:lang w:bidi="es-US"/>
        </w:rPr>
        <w:t>La Agencia de Recursos Naturales (ANR) de Vermont opera sus programas, servicios y actividades sin discriminar por motivos de raza, religión, credo, color, origen nacional (incluido el dominio limitado del inglés), ascendencia, lugar de nacimiento, discapacidad, edad, estado civil, sexo, orientación sexual, identidad de género o lactancia (madre e hijo).</w:t>
      </w:r>
    </w:p>
    <w:p w14:paraId="3783ECC3" w14:textId="5EA4A163" w:rsidR="00192F5C" w:rsidRPr="00D82B3C" w:rsidRDefault="00192F5C">
      <w:pPr>
        <w:pStyle w:val="BodyText"/>
        <w:spacing w:before="1"/>
        <w:ind w:left="0"/>
        <w:rPr>
          <w:sz w:val="16"/>
          <w:szCs w:val="22"/>
        </w:rPr>
      </w:pPr>
    </w:p>
    <w:p w14:paraId="5B1EBAD2" w14:textId="463D1629" w:rsidR="00192F5C" w:rsidRPr="00D82B3C" w:rsidRDefault="00A16095">
      <w:pPr>
        <w:spacing w:line="206" w:lineRule="exact"/>
        <w:ind w:left="140"/>
        <w:jc w:val="both"/>
        <w:rPr>
          <w:b/>
          <w:sz w:val="16"/>
          <w:szCs w:val="20"/>
        </w:rPr>
      </w:pPr>
      <w:r w:rsidRPr="00D82B3C">
        <w:rPr>
          <w:b/>
          <w:color w:val="2F2F2F"/>
          <w:sz w:val="16"/>
          <w:szCs w:val="20"/>
          <w:lang w:bidi="es-US"/>
        </w:rPr>
        <w:t>Aviso de acceso servicios lingüísticos:</w:t>
      </w:r>
    </w:p>
    <w:p w14:paraId="46AA2F44" w14:textId="3462E725" w:rsidR="00192F5C" w:rsidRPr="00D82B3C" w:rsidRDefault="00192F5C" w:rsidP="000279AF">
      <w:pPr>
        <w:spacing w:line="203" w:lineRule="exact"/>
        <w:ind w:left="140"/>
        <w:rPr>
          <w:sz w:val="16"/>
          <w:szCs w:val="20"/>
        </w:rPr>
        <w:sectPr w:rsidR="00192F5C" w:rsidRPr="00D82B3C">
          <w:type w:val="continuous"/>
          <w:pgSz w:w="12240" w:h="15840"/>
          <w:pgMar w:top="640" w:right="540" w:bottom="280" w:left="580" w:header="720" w:footer="720" w:gutter="0"/>
          <w:cols w:space="720"/>
        </w:sectPr>
      </w:pPr>
    </w:p>
    <w:p w14:paraId="6EFE2F5E" w14:textId="514A3BC0" w:rsidR="00192F5C" w:rsidRPr="00D82B3C" w:rsidRDefault="00D82B3C" w:rsidP="000279AF">
      <w:pPr>
        <w:ind w:left="64"/>
        <w:rPr>
          <w:sz w:val="17"/>
          <w:szCs w:val="20"/>
        </w:rPr>
      </w:pPr>
      <w:r w:rsidRPr="00D82B3C">
        <w:rPr>
          <w:noProof/>
          <w:sz w:val="20"/>
          <w:szCs w:val="20"/>
        </w:rPr>
        <w:drawing>
          <wp:anchor distT="0" distB="0" distL="114300" distR="114300" simplePos="0" relativeHeight="251659264" behindDoc="1" locked="0" layoutInCell="1" allowOverlap="1" wp14:anchorId="4605F44C" wp14:editId="53E7DCCC">
            <wp:simplePos x="0" y="0"/>
            <wp:positionH relativeFrom="column">
              <wp:posOffset>84292</wp:posOffset>
            </wp:positionH>
            <wp:positionV relativeFrom="paragraph">
              <wp:posOffset>36327</wp:posOffset>
            </wp:positionV>
            <wp:extent cx="6070600" cy="1234440"/>
            <wp:effectExtent l="0" t="0" r="0" b="0"/>
            <wp:wrapNone/>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070600" cy="1234440"/>
                    </a:xfrm>
                    <a:prstGeom prst="rect">
                      <a:avLst/>
                    </a:prstGeom>
                  </pic:spPr>
                </pic:pic>
              </a:graphicData>
            </a:graphic>
          </wp:anchor>
        </w:drawing>
      </w:r>
    </w:p>
    <w:sectPr w:rsidR="00192F5C" w:rsidRPr="00D82B3C">
      <w:type w:val="continuous"/>
      <w:pgSz w:w="12240" w:h="15840"/>
      <w:pgMar w:top="640" w:right="540" w:bottom="280" w:left="580" w:header="720" w:footer="720" w:gutter="0"/>
      <w:cols w:num="3" w:space="720" w:equalWidth="0">
        <w:col w:w="2702" w:space="40"/>
        <w:col w:w="440" w:space="39"/>
        <w:col w:w="789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3BE6" w14:textId="77777777" w:rsidR="005A72B7" w:rsidRDefault="005A72B7" w:rsidP="000279AF">
      <w:r>
        <w:separator/>
      </w:r>
    </w:p>
  </w:endnote>
  <w:endnote w:type="continuationSeparator" w:id="0">
    <w:p w14:paraId="08F818D6" w14:textId="77777777" w:rsidR="005A72B7" w:rsidRDefault="005A72B7" w:rsidP="0002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0885" w14:textId="7A6D8D75" w:rsidR="000279AF" w:rsidRDefault="000279AF" w:rsidP="000279AF">
    <w:pPr>
      <w:pStyle w:val="BodyText"/>
      <w:spacing w:before="1"/>
      <w:ind w:left="140"/>
    </w:pPr>
    <w:r w:rsidRPr="00A16095">
      <w:rPr>
        <w:noProof/>
        <w:lang w:bidi="es-US"/>
      </w:rPr>
      <w:drawing>
        <wp:anchor distT="0" distB="0" distL="0" distR="0" simplePos="0" relativeHeight="251658240" behindDoc="0" locked="0" layoutInCell="1" allowOverlap="1" wp14:anchorId="44306A3C" wp14:editId="18FAA612">
          <wp:simplePos x="0" y="0"/>
          <wp:positionH relativeFrom="page">
            <wp:posOffset>5311492</wp:posOffset>
          </wp:positionH>
          <wp:positionV relativeFrom="paragraph">
            <wp:posOffset>4112</wp:posOffset>
          </wp:positionV>
          <wp:extent cx="2117020" cy="443388"/>
          <wp:effectExtent l="0" t="0" r="0" b="0"/>
          <wp:wrapTopAndBottom/>
          <wp:docPr id="1082733625" name="Picture 1082733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17020" cy="443388"/>
                  </a:xfrm>
                  <a:prstGeom prst="rect">
                    <a:avLst/>
                  </a:prstGeom>
                </pic:spPr>
              </pic:pic>
            </a:graphicData>
          </a:graphic>
        </wp:anchor>
      </w:drawing>
    </w:r>
    <w:r w:rsidRPr="00A16095">
      <w:rPr>
        <w:color w:val="2F2F2F"/>
        <w:lang w:bidi="es-US"/>
      </w:rPr>
      <w:t>Actualizado: 13/7/2023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4DF5" w14:textId="77777777" w:rsidR="005A72B7" w:rsidRDefault="005A72B7" w:rsidP="000279AF">
      <w:r>
        <w:separator/>
      </w:r>
    </w:p>
  </w:footnote>
  <w:footnote w:type="continuationSeparator" w:id="0">
    <w:p w14:paraId="4BDB142E" w14:textId="77777777" w:rsidR="005A72B7" w:rsidRDefault="005A72B7" w:rsidP="00027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51A"/>
    <w:multiLevelType w:val="hybridMultilevel"/>
    <w:tmpl w:val="1FC08EBE"/>
    <w:lvl w:ilvl="0" w:tplc="7AB03EB6">
      <w:numFmt w:val="bullet"/>
      <w:lvlText w:val=""/>
      <w:lvlJc w:val="left"/>
      <w:pPr>
        <w:ind w:left="585" w:hanging="360"/>
      </w:pPr>
      <w:rPr>
        <w:rFonts w:ascii="Wingdings" w:eastAsia="Wingdings" w:hAnsi="Wingdings" w:cs="Wingdings" w:hint="default"/>
        <w:color w:val="2F2F2F"/>
        <w:w w:val="100"/>
        <w:sz w:val="24"/>
        <w:szCs w:val="24"/>
        <w:lang w:val="en-US" w:eastAsia="en-US" w:bidi="ar-SA"/>
      </w:rPr>
    </w:lvl>
    <w:lvl w:ilvl="1" w:tplc="31562862">
      <w:numFmt w:val="bullet"/>
      <w:lvlText w:val="•"/>
      <w:lvlJc w:val="left"/>
      <w:pPr>
        <w:ind w:left="1634" w:hanging="360"/>
      </w:pPr>
      <w:rPr>
        <w:rFonts w:hint="default"/>
        <w:lang w:val="en-US" w:eastAsia="en-US" w:bidi="ar-SA"/>
      </w:rPr>
    </w:lvl>
    <w:lvl w:ilvl="2" w:tplc="A91E4EC4">
      <w:numFmt w:val="bullet"/>
      <w:lvlText w:val="•"/>
      <w:lvlJc w:val="left"/>
      <w:pPr>
        <w:ind w:left="2688" w:hanging="360"/>
      </w:pPr>
      <w:rPr>
        <w:rFonts w:hint="default"/>
        <w:lang w:val="en-US" w:eastAsia="en-US" w:bidi="ar-SA"/>
      </w:rPr>
    </w:lvl>
    <w:lvl w:ilvl="3" w:tplc="4030C0EC">
      <w:numFmt w:val="bullet"/>
      <w:lvlText w:val="•"/>
      <w:lvlJc w:val="left"/>
      <w:pPr>
        <w:ind w:left="3742" w:hanging="360"/>
      </w:pPr>
      <w:rPr>
        <w:rFonts w:hint="default"/>
        <w:lang w:val="en-US" w:eastAsia="en-US" w:bidi="ar-SA"/>
      </w:rPr>
    </w:lvl>
    <w:lvl w:ilvl="4" w:tplc="D85E40BC">
      <w:numFmt w:val="bullet"/>
      <w:lvlText w:val="•"/>
      <w:lvlJc w:val="left"/>
      <w:pPr>
        <w:ind w:left="4796" w:hanging="360"/>
      </w:pPr>
      <w:rPr>
        <w:rFonts w:hint="default"/>
        <w:lang w:val="en-US" w:eastAsia="en-US" w:bidi="ar-SA"/>
      </w:rPr>
    </w:lvl>
    <w:lvl w:ilvl="5" w:tplc="C14E6F7C">
      <w:numFmt w:val="bullet"/>
      <w:lvlText w:val="•"/>
      <w:lvlJc w:val="left"/>
      <w:pPr>
        <w:ind w:left="5850" w:hanging="360"/>
      </w:pPr>
      <w:rPr>
        <w:rFonts w:hint="default"/>
        <w:lang w:val="en-US" w:eastAsia="en-US" w:bidi="ar-SA"/>
      </w:rPr>
    </w:lvl>
    <w:lvl w:ilvl="6" w:tplc="75F81A82">
      <w:numFmt w:val="bullet"/>
      <w:lvlText w:val="•"/>
      <w:lvlJc w:val="left"/>
      <w:pPr>
        <w:ind w:left="6904" w:hanging="360"/>
      </w:pPr>
      <w:rPr>
        <w:rFonts w:hint="default"/>
        <w:lang w:val="en-US" w:eastAsia="en-US" w:bidi="ar-SA"/>
      </w:rPr>
    </w:lvl>
    <w:lvl w:ilvl="7" w:tplc="2F9E349E">
      <w:numFmt w:val="bullet"/>
      <w:lvlText w:val="•"/>
      <w:lvlJc w:val="left"/>
      <w:pPr>
        <w:ind w:left="7958" w:hanging="360"/>
      </w:pPr>
      <w:rPr>
        <w:rFonts w:hint="default"/>
        <w:lang w:val="en-US" w:eastAsia="en-US" w:bidi="ar-SA"/>
      </w:rPr>
    </w:lvl>
    <w:lvl w:ilvl="8" w:tplc="FF1A12CC">
      <w:numFmt w:val="bullet"/>
      <w:lvlText w:val="•"/>
      <w:lvlJc w:val="left"/>
      <w:pPr>
        <w:ind w:left="9012" w:hanging="360"/>
      </w:pPr>
      <w:rPr>
        <w:rFonts w:hint="default"/>
        <w:lang w:val="en-US" w:eastAsia="en-US" w:bidi="ar-SA"/>
      </w:rPr>
    </w:lvl>
  </w:abstractNum>
  <w:abstractNum w:abstractNumId="1" w15:restartNumberingAfterBreak="0">
    <w:nsid w:val="167E0FEE"/>
    <w:multiLevelType w:val="hybridMultilevel"/>
    <w:tmpl w:val="63785BF6"/>
    <w:lvl w:ilvl="0" w:tplc="240A000B">
      <w:start w:val="1"/>
      <w:numFmt w:val="bullet"/>
      <w:lvlText w:val=""/>
      <w:lvlJc w:val="left"/>
      <w:pPr>
        <w:ind w:left="585" w:hanging="290"/>
      </w:pPr>
      <w:rPr>
        <w:rFonts w:ascii="Wingdings" w:hAnsi="Wingdings" w:hint="default"/>
        <w:color w:val="2F2F2F"/>
        <w:w w:val="52"/>
        <w:sz w:val="20"/>
        <w:szCs w:val="20"/>
        <w:lang w:val="en-US" w:eastAsia="en-US" w:bidi="ar-SA"/>
      </w:rPr>
    </w:lvl>
    <w:lvl w:ilvl="1" w:tplc="8766C7BE">
      <w:numFmt w:val="bullet"/>
      <w:lvlText w:val="•"/>
      <w:lvlJc w:val="left"/>
      <w:pPr>
        <w:ind w:left="1035" w:hanging="290"/>
      </w:pPr>
      <w:rPr>
        <w:rFonts w:hint="default"/>
        <w:lang w:val="en-US" w:eastAsia="en-US" w:bidi="ar-SA"/>
      </w:rPr>
    </w:lvl>
    <w:lvl w:ilvl="2" w:tplc="5ACCCA26">
      <w:numFmt w:val="bullet"/>
      <w:lvlText w:val="•"/>
      <w:lvlJc w:val="left"/>
      <w:pPr>
        <w:ind w:left="1490" w:hanging="290"/>
      </w:pPr>
      <w:rPr>
        <w:rFonts w:hint="default"/>
        <w:lang w:val="en-US" w:eastAsia="en-US" w:bidi="ar-SA"/>
      </w:rPr>
    </w:lvl>
    <w:lvl w:ilvl="3" w:tplc="9E2EB71E">
      <w:numFmt w:val="bullet"/>
      <w:lvlText w:val="•"/>
      <w:lvlJc w:val="left"/>
      <w:pPr>
        <w:ind w:left="1945" w:hanging="290"/>
      </w:pPr>
      <w:rPr>
        <w:rFonts w:hint="default"/>
        <w:lang w:val="en-US" w:eastAsia="en-US" w:bidi="ar-SA"/>
      </w:rPr>
    </w:lvl>
    <w:lvl w:ilvl="4" w:tplc="A92EFBF6">
      <w:numFmt w:val="bullet"/>
      <w:lvlText w:val="•"/>
      <w:lvlJc w:val="left"/>
      <w:pPr>
        <w:ind w:left="2401" w:hanging="290"/>
      </w:pPr>
      <w:rPr>
        <w:rFonts w:hint="default"/>
        <w:lang w:val="en-US" w:eastAsia="en-US" w:bidi="ar-SA"/>
      </w:rPr>
    </w:lvl>
    <w:lvl w:ilvl="5" w:tplc="9B3485B4">
      <w:numFmt w:val="bullet"/>
      <w:lvlText w:val="•"/>
      <w:lvlJc w:val="left"/>
      <w:pPr>
        <w:ind w:left="2856" w:hanging="290"/>
      </w:pPr>
      <w:rPr>
        <w:rFonts w:hint="default"/>
        <w:lang w:val="en-US" w:eastAsia="en-US" w:bidi="ar-SA"/>
      </w:rPr>
    </w:lvl>
    <w:lvl w:ilvl="6" w:tplc="AAB0A098">
      <w:numFmt w:val="bullet"/>
      <w:lvlText w:val="•"/>
      <w:lvlJc w:val="left"/>
      <w:pPr>
        <w:ind w:left="3311" w:hanging="290"/>
      </w:pPr>
      <w:rPr>
        <w:rFonts w:hint="default"/>
        <w:lang w:val="en-US" w:eastAsia="en-US" w:bidi="ar-SA"/>
      </w:rPr>
    </w:lvl>
    <w:lvl w:ilvl="7" w:tplc="6A6AD8C0">
      <w:numFmt w:val="bullet"/>
      <w:lvlText w:val="•"/>
      <w:lvlJc w:val="left"/>
      <w:pPr>
        <w:ind w:left="3767" w:hanging="290"/>
      </w:pPr>
      <w:rPr>
        <w:rFonts w:hint="default"/>
        <w:lang w:val="en-US" w:eastAsia="en-US" w:bidi="ar-SA"/>
      </w:rPr>
    </w:lvl>
    <w:lvl w:ilvl="8" w:tplc="BE1E2484">
      <w:numFmt w:val="bullet"/>
      <w:lvlText w:val="•"/>
      <w:lvlJc w:val="left"/>
      <w:pPr>
        <w:ind w:left="4222" w:hanging="290"/>
      </w:pPr>
      <w:rPr>
        <w:rFonts w:hint="default"/>
        <w:lang w:val="en-US" w:eastAsia="en-US" w:bidi="ar-SA"/>
      </w:rPr>
    </w:lvl>
  </w:abstractNum>
  <w:abstractNum w:abstractNumId="2" w15:restartNumberingAfterBreak="0">
    <w:nsid w:val="66A10CBE"/>
    <w:multiLevelType w:val="multilevel"/>
    <w:tmpl w:val="63785BF6"/>
    <w:lvl w:ilvl="0">
      <w:start w:val="1"/>
      <w:numFmt w:val="bullet"/>
      <w:lvlText w:val=""/>
      <w:lvlJc w:val="left"/>
      <w:pPr>
        <w:ind w:left="585" w:hanging="290"/>
      </w:pPr>
      <w:rPr>
        <w:rFonts w:ascii="Wingdings" w:hAnsi="Wingdings" w:hint="default"/>
        <w:color w:val="2F2F2F"/>
        <w:w w:val="52"/>
        <w:sz w:val="20"/>
        <w:szCs w:val="20"/>
        <w:lang w:val="en-US" w:eastAsia="en-US" w:bidi="ar-SA"/>
      </w:rPr>
    </w:lvl>
    <w:lvl w:ilvl="1">
      <w:numFmt w:val="bullet"/>
      <w:lvlText w:val="•"/>
      <w:lvlJc w:val="left"/>
      <w:pPr>
        <w:ind w:left="1035" w:hanging="290"/>
      </w:pPr>
      <w:rPr>
        <w:rFonts w:hint="default"/>
        <w:lang w:val="en-US" w:eastAsia="en-US" w:bidi="ar-SA"/>
      </w:rPr>
    </w:lvl>
    <w:lvl w:ilvl="2">
      <w:numFmt w:val="bullet"/>
      <w:lvlText w:val="•"/>
      <w:lvlJc w:val="left"/>
      <w:pPr>
        <w:ind w:left="1490" w:hanging="290"/>
      </w:pPr>
      <w:rPr>
        <w:rFonts w:hint="default"/>
        <w:lang w:val="en-US" w:eastAsia="en-US" w:bidi="ar-SA"/>
      </w:rPr>
    </w:lvl>
    <w:lvl w:ilvl="3">
      <w:numFmt w:val="bullet"/>
      <w:lvlText w:val="•"/>
      <w:lvlJc w:val="left"/>
      <w:pPr>
        <w:ind w:left="1945" w:hanging="290"/>
      </w:pPr>
      <w:rPr>
        <w:rFonts w:hint="default"/>
        <w:lang w:val="en-US" w:eastAsia="en-US" w:bidi="ar-SA"/>
      </w:rPr>
    </w:lvl>
    <w:lvl w:ilvl="4">
      <w:numFmt w:val="bullet"/>
      <w:lvlText w:val="•"/>
      <w:lvlJc w:val="left"/>
      <w:pPr>
        <w:ind w:left="2401" w:hanging="290"/>
      </w:pPr>
      <w:rPr>
        <w:rFonts w:hint="default"/>
        <w:lang w:val="en-US" w:eastAsia="en-US" w:bidi="ar-SA"/>
      </w:rPr>
    </w:lvl>
    <w:lvl w:ilvl="5">
      <w:numFmt w:val="bullet"/>
      <w:lvlText w:val="•"/>
      <w:lvlJc w:val="left"/>
      <w:pPr>
        <w:ind w:left="2856" w:hanging="290"/>
      </w:pPr>
      <w:rPr>
        <w:rFonts w:hint="default"/>
        <w:lang w:val="en-US" w:eastAsia="en-US" w:bidi="ar-SA"/>
      </w:rPr>
    </w:lvl>
    <w:lvl w:ilvl="6">
      <w:numFmt w:val="bullet"/>
      <w:lvlText w:val="•"/>
      <w:lvlJc w:val="left"/>
      <w:pPr>
        <w:ind w:left="3311" w:hanging="290"/>
      </w:pPr>
      <w:rPr>
        <w:rFonts w:hint="default"/>
        <w:lang w:val="en-US" w:eastAsia="en-US" w:bidi="ar-SA"/>
      </w:rPr>
    </w:lvl>
    <w:lvl w:ilvl="7">
      <w:numFmt w:val="bullet"/>
      <w:lvlText w:val="•"/>
      <w:lvlJc w:val="left"/>
      <w:pPr>
        <w:ind w:left="3767" w:hanging="290"/>
      </w:pPr>
      <w:rPr>
        <w:rFonts w:hint="default"/>
        <w:lang w:val="en-US" w:eastAsia="en-US" w:bidi="ar-SA"/>
      </w:rPr>
    </w:lvl>
    <w:lvl w:ilvl="8">
      <w:numFmt w:val="bullet"/>
      <w:lvlText w:val="•"/>
      <w:lvlJc w:val="left"/>
      <w:pPr>
        <w:ind w:left="4222" w:hanging="290"/>
      </w:pPr>
      <w:rPr>
        <w:rFonts w:hint="default"/>
        <w:lang w:val="en-US" w:eastAsia="en-US" w:bidi="ar-SA"/>
      </w:rPr>
    </w:lvl>
  </w:abstractNum>
  <w:num w:numId="1" w16cid:durableId="779228607">
    <w:abstractNumId w:val="0"/>
  </w:num>
  <w:num w:numId="2" w16cid:durableId="1099178778">
    <w:abstractNumId w:val="1"/>
  </w:num>
  <w:num w:numId="3" w16cid:durableId="1934126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spelling="clean" w:grammar="clean"/>
  <w:defaultTabStop w:val="720"/>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2F5C"/>
    <w:rsid w:val="000279AF"/>
    <w:rsid w:val="00192F5C"/>
    <w:rsid w:val="005A72B7"/>
    <w:rsid w:val="005E5615"/>
    <w:rsid w:val="00650DD9"/>
    <w:rsid w:val="00827408"/>
    <w:rsid w:val="00A16095"/>
    <w:rsid w:val="00D82B3C"/>
    <w:rsid w:val="00F65AD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
  <w:listSeparator w:val=";"/>
  <w14:docId w14:val="26DF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40"/>
      <w:jc w:val="both"/>
      <w:outlineLvl w:val="0"/>
    </w:pPr>
    <w:rPr>
      <w:rFonts w:ascii="Arial" w:eastAsia="Arial" w:hAnsi="Arial" w:cs="Arial"/>
      <w:b/>
      <w:bCs/>
      <w:sz w:val="28"/>
      <w:szCs w:val="28"/>
    </w:rPr>
  </w:style>
  <w:style w:type="paragraph" w:styleId="Heading2">
    <w:name w:val="heading 2"/>
    <w:basedOn w:val="Normal"/>
    <w:uiPriority w:val="9"/>
    <w:unhideWhenUsed/>
    <w:qFormat/>
    <w:pPr>
      <w:ind w:left="740" w:hanging="2512"/>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585"/>
    </w:pPr>
    <w:rPr>
      <w:sz w:val="24"/>
      <w:szCs w:val="24"/>
    </w:rPr>
  </w:style>
  <w:style w:type="paragraph" w:styleId="Title">
    <w:name w:val="Title"/>
    <w:basedOn w:val="Normal"/>
    <w:uiPriority w:val="10"/>
    <w:qFormat/>
    <w:pPr>
      <w:spacing w:before="83"/>
      <w:ind w:left="3009" w:right="3041"/>
      <w:jc w:val="center"/>
    </w:pPr>
    <w:rPr>
      <w:sz w:val="52"/>
      <w:szCs w:val="52"/>
    </w:rPr>
  </w:style>
  <w:style w:type="paragraph" w:styleId="ListParagraph">
    <w:name w:val="List Paragraph"/>
    <w:basedOn w:val="Normal"/>
    <w:uiPriority w:val="1"/>
    <w:qFormat/>
    <w:pPr>
      <w:spacing w:before="59"/>
      <w:ind w:left="585" w:hanging="29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79AF"/>
    <w:pPr>
      <w:tabs>
        <w:tab w:val="center" w:pos="4419"/>
        <w:tab w:val="right" w:pos="8838"/>
      </w:tabs>
    </w:pPr>
  </w:style>
  <w:style w:type="character" w:customStyle="1" w:styleId="HeaderChar">
    <w:name w:val="Header Char"/>
    <w:basedOn w:val="DefaultParagraphFont"/>
    <w:link w:val="Header"/>
    <w:uiPriority w:val="99"/>
    <w:rsid w:val="000279AF"/>
    <w:rPr>
      <w:rFonts w:ascii="Arial MT" w:eastAsia="Arial MT" w:hAnsi="Arial MT" w:cs="Arial MT"/>
    </w:rPr>
  </w:style>
  <w:style w:type="paragraph" w:styleId="Footer">
    <w:name w:val="footer"/>
    <w:basedOn w:val="Normal"/>
    <w:link w:val="FooterChar"/>
    <w:uiPriority w:val="99"/>
    <w:unhideWhenUsed/>
    <w:rsid w:val="000279AF"/>
    <w:pPr>
      <w:tabs>
        <w:tab w:val="center" w:pos="4419"/>
        <w:tab w:val="right" w:pos="8838"/>
      </w:tabs>
    </w:pPr>
  </w:style>
  <w:style w:type="character" w:customStyle="1" w:styleId="FooterChar">
    <w:name w:val="Footer Char"/>
    <w:basedOn w:val="DefaultParagraphFont"/>
    <w:link w:val="Footer"/>
    <w:uiPriority w:val="99"/>
    <w:rsid w:val="000279AF"/>
    <w:rPr>
      <w:rFonts w:ascii="Arial MT" w:eastAsia="Arial MT" w:hAnsi="Arial MT" w:cs="Arial MT"/>
    </w:rPr>
  </w:style>
  <w:style w:type="character" w:styleId="Hyperlink">
    <w:name w:val="Hyperlink"/>
    <w:basedOn w:val="DefaultParagraphFont"/>
    <w:uiPriority w:val="99"/>
    <w:unhideWhenUsed/>
    <w:rsid w:val="000279AF"/>
    <w:rPr>
      <w:color w:val="0000FF" w:themeColor="hyperlink"/>
      <w:u w:val="single"/>
    </w:rPr>
  </w:style>
  <w:style w:type="character" w:styleId="UnresolvedMention">
    <w:name w:val="Unresolved Mention"/>
    <w:basedOn w:val="DefaultParagraphFont"/>
    <w:uiPriority w:val="99"/>
    <w:semiHidden/>
    <w:unhideWhenUsed/>
    <w:rsid w:val="00027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802recycles.com/"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3951D458-0E75-4D70-B5F7-FA13F2C4704F}"/>
</file>

<file path=customXml/itemProps2.xml><?xml version="1.0" encoding="utf-8"?>
<ds:datastoreItem xmlns:ds="http://schemas.openxmlformats.org/officeDocument/2006/customXml" ds:itemID="{1DDA16F3-07AB-42F9-8E18-99D5D64308D3}"/>
</file>

<file path=customXml/itemProps3.xml><?xml version="1.0" encoding="utf-8"?>
<ds:datastoreItem xmlns:ds="http://schemas.openxmlformats.org/officeDocument/2006/customXml" ds:itemID="{3506E7A7-60CC-4043-B9BD-6056A32F104D}"/>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2326</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2023-07-18T16:27:00Z</dcterms:created>
  <dcterms:modified xsi:type="dcterms:W3CDTF">2023-07-19T21:17:00Z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