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A676" w14:textId="77777777" w:rsidR="008123FF" w:rsidRPr="0046184C" w:rsidRDefault="00000000">
      <w:pPr>
        <w:pStyle w:val="BodyText"/>
        <w:spacing w:before="10"/>
        <w:rPr>
          <w:b/>
          <w:sz w:val="18"/>
          <w:szCs w:val="22"/>
        </w:rPr>
      </w:pPr>
      <w:r>
        <w:rPr>
          <w:sz w:val="22"/>
          <w:szCs w:val="22"/>
          <w:lang w:bidi="fr-FR"/>
        </w:rPr>
        <w:pict w14:anchorId="4E1E091C">
          <v:shape id="_x0000_s2050" style="position:absolute;margin-left:54.05pt;margin-top:14pt;width:504.25pt;height:.5pt;z-index:-251658752;mso-wrap-distance-left:0;mso-wrap-distance-right:0;mso-position-horizontal-relative:page" coordorigin="1081,280" coordsize="10085,10" o:spt="100" adj="0,,0" path="m11160,280r-10074,l1081,280r,5l1081,290r5,l11160,290r,-5l11160,280xm11165,280r-5,l11160,285r,5l11165,290r,-5l11165,280xe" fillcolor="#9f9f9f" stroked="f">
            <v:stroke joinstyle="round"/>
            <v:formulas/>
            <v:path arrowok="t" o:connecttype="segments"/>
            <w10:wrap type="topAndBottom" anchorx="page"/>
          </v:shape>
        </w:pict>
      </w:r>
    </w:p>
    <w:p w14:paraId="7A8FC8FE" w14:textId="77777777" w:rsidR="008123FF" w:rsidRPr="0046184C" w:rsidRDefault="008123FF">
      <w:pPr>
        <w:pStyle w:val="BodyText"/>
        <w:spacing w:before="9"/>
        <w:rPr>
          <w:b/>
          <w:sz w:val="12"/>
          <w:szCs w:val="22"/>
        </w:rPr>
      </w:pPr>
    </w:p>
    <w:p w14:paraId="791EA717" w14:textId="77777777" w:rsidR="008123FF" w:rsidRPr="0046184C" w:rsidRDefault="00000000" w:rsidP="0046184C">
      <w:pPr>
        <w:pStyle w:val="Title"/>
        <w:jc w:val="center"/>
        <w:rPr>
          <w:sz w:val="44"/>
          <w:szCs w:val="44"/>
        </w:rPr>
      </w:pPr>
      <w:bookmarkStart w:id="0" w:name="Private_Drinking_Water_System_Guidance"/>
      <w:bookmarkEnd w:id="0"/>
      <w:r w:rsidRPr="0046184C">
        <w:rPr>
          <w:color w:val="2F2F2F"/>
          <w:sz w:val="44"/>
          <w:szCs w:val="44"/>
          <w:lang w:bidi="fr-FR"/>
        </w:rPr>
        <w:t>Informations concernant les réseaux de distribution d’eau potable privés</w:t>
      </w:r>
    </w:p>
    <w:p w14:paraId="27FD1013" w14:textId="77777777" w:rsidR="008123FF" w:rsidRPr="0046184C" w:rsidRDefault="00000000">
      <w:pPr>
        <w:pStyle w:val="Heading1"/>
        <w:spacing w:before="253"/>
        <w:rPr>
          <w:rFonts w:ascii="Arial MT" w:hAnsi="Arial MT"/>
          <w:sz w:val="26"/>
          <w:szCs w:val="24"/>
        </w:rPr>
      </w:pPr>
      <w:bookmarkStart w:id="1" w:name="How_do_I_know_if_my_water_is_a_private_d"/>
      <w:bookmarkEnd w:id="1"/>
      <w:r w:rsidRPr="0046184C">
        <w:rPr>
          <w:color w:val="007940"/>
          <w:sz w:val="24"/>
          <w:szCs w:val="24"/>
          <w:lang w:bidi="fr-FR"/>
        </w:rPr>
        <w:t>Comment savoir si mon eau est issue d’un réseau de distribution d’eau potable privé ?</w:t>
      </w:r>
    </w:p>
    <w:p w14:paraId="325E5FFA" w14:textId="77777777" w:rsidR="008123FF" w:rsidRPr="0046184C" w:rsidRDefault="00000000">
      <w:pPr>
        <w:pStyle w:val="BodyText"/>
        <w:spacing w:before="115"/>
        <w:ind w:left="100" w:right="637"/>
        <w:rPr>
          <w:sz w:val="22"/>
          <w:szCs w:val="22"/>
        </w:rPr>
      </w:pPr>
      <w:r w:rsidRPr="0046184C">
        <w:rPr>
          <w:color w:val="2F2F2F"/>
          <w:sz w:val="22"/>
          <w:szCs w:val="22"/>
          <w:lang w:bidi="fr-FR"/>
        </w:rPr>
        <w:t>En général, votre système de distribution d’eau est considéré comme privé si vous avez votre propre forage, source, prise d’eau de surface, ou qu’il est partagé entre un faible nombre de maisons. Si votre eau est issue d’un réseau de distribution d’eau public, vous ou votre propriétaire payez probablement une facture d’eau. Dans certains cas, avec des associations de taille réduite, ce n’est pas le cas.</w:t>
      </w:r>
    </w:p>
    <w:p w14:paraId="6994C0B3" w14:textId="77777777" w:rsidR="008123FF" w:rsidRPr="0046184C" w:rsidRDefault="008123FF">
      <w:pPr>
        <w:pStyle w:val="BodyText"/>
        <w:spacing w:before="3"/>
        <w:rPr>
          <w:sz w:val="19"/>
          <w:szCs w:val="22"/>
        </w:rPr>
      </w:pPr>
    </w:p>
    <w:p w14:paraId="0AB18CCA" w14:textId="77777777" w:rsidR="008123FF" w:rsidRPr="0046184C" w:rsidRDefault="00000000">
      <w:pPr>
        <w:pStyle w:val="Heading1"/>
        <w:rPr>
          <w:rFonts w:ascii="Arial MT" w:hAnsi="Arial MT"/>
          <w:sz w:val="26"/>
          <w:szCs w:val="24"/>
        </w:rPr>
      </w:pPr>
      <w:bookmarkStart w:id="2" w:name="What_do_I_do_if_my_private_water_source_"/>
      <w:bookmarkEnd w:id="2"/>
      <w:r w:rsidRPr="0046184C">
        <w:rPr>
          <w:color w:val="007940"/>
          <w:sz w:val="24"/>
          <w:szCs w:val="24"/>
          <w:lang w:bidi="fr-FR"/>
        </w:rPr>
        <w:t>Que dois-je faire si ma source d’eau privée a été touchée par les inondations ?</w:t>
      </w:r>
    </w:p>
    <w:p w14:paraId="5872DB3A" w14:textId="77777777" w:rsidR="008123FF" w:rsidRPr="0046184C" w:rsidRDefault="00000000">
      <w:pPr>
        <w:pStyle w:val="ListParagraph"/>
        <w:numPr>
          <w:ilvl w:val="0"/>
          <w:numId w:val="1"/>
        </w:numPr>
        <w:tabs>
          <w:tab w:val="left" w:pos="821"/>
        </w:tabs>
        <w:spacing w:before="115"/>
        <w:ind w:right="661"/>
        <w:rPr>
          <w:szCs w:val="20"/>
        </w:rPr>
      </w:pPr>
      <w:r w:rsidRPr="0046184C">
        <w:rPr>
          <w:b/>
          <w:color w:val="2F2F2F"/>
          <w:szCs w:val="20"/>
          <w:lang w:bidi="fr-FR"/>
        </w:rPr>
        <w:t xml:space="preserve">Partez du principe que votre eau est contaminée. </w:t>
      </w:r>
      <w:r w:rsidRPr="0046184C">
        <w:rPr>
          <w:color w:val="2F2F2F"/>
          <w:szCs w:val="20"/>
          <w:lang w:bidi="fr-FR"/>
        </w:rPr>
        <w:t>Si vous puisez votre eau d’un forage ou d’une source privée et que les eaux de crue ont atteint votre forage ou votre source, partez du principe que votre eau est contaminée. N’utilisez pas l’eau de votre forage ou de votre source avant de l’avoir analysée et que les résultats indiquent que l’eau est exempte de contamination.</w:t>
      </w:r>
    </w:p>
    <w:p w14:paraId="4951229A" w14:textId="77777777" w:rsidR="008123FF" w:rsidRPr="0046184C" w:rsidRDefault="008123FF">
      <w:pPr>
        <w:pStyle w:val="BodyText"/>
        <w:rPr>
          <w:sz w:val="19"/>
          <w:szCs w:val="22"/>
        </w:rPr>
      </w:pPr>
    </w:p>
    <w:p w14:paraId="48A94250" w14:textId="77777777" w:rsidR="008123FF" w:rsidRPr="0046184C" w:rsidRDefault="00000000">
      <w:pPr>
        <w:pStyle w:val="ListParagraph"/>
        <w:numPr>
          <w:ilvl w:val="0"/>
          <w:numId w:val="1"/>
        </w:numPr>
        <w:tabs>
          <w:tab w:val="left" w:pos="821"/>
        </w:tabs>
        <w:ind w:right="956"/>
        <w:rPr>
          <w:szCs w:val="20"/>
        </w:rPr>
      </w:pPr>
      <w:r w:rsidRPr="0046184C">
        <w:rPr>
          <w:b/>
          <w:color w:val="2F2F2F"/>
          <w:szCs w:val="20"/>
          <w:lang w:bidi="fr-FR"/>
        </w:rPr>
        <w:t xml:space="preserve">Faites des analyses gratuites. </w:t>
      </w:r>
      <w:r w:rsidRPr="0046184C">
        <w:rPr>
          <w:color w:val="2F2F2F"/>
          <w:szCs w:val="20"/>
          <w:lang w:bidi="fr-FR"/>
        </w:rPr>
        <w:t xml:space="preserve">Des analyses d’eau gratuites sont offertes aux propriétaires de forages et de sources dont les systèmes de distribution d’eau ont été touchés par des inondations. Composez le numéro de téléphone 802-338-4724 pour commander une analyse gratuite de l’eau potable, afin d’identifier une éventuelle contamination causée par les inondations. Apprenez-en davantage auprès du </w:t>
      </w:r>
      <w:hyperlink r:id="rId7">
        <w:r w:rsidRPr="0046184C">
          <w:rPr>
            <w:color w:val="0462C1"/>
            <w:szCs w:val="20"/>
            <w:u w:val="single" w:color="0462C1"/>
            <w:lang w:bidi="fr-FR"/>
          </w:rPr>
          <w:t>Ministère de la santé</w:t>
        </w:r>
      </w:hyperlink>
      <w:r w:rsidRPr="0046184C">
        <w:rPr>
          <w:color w:val="2F2F2F"/>
          <w:szCs w:val="20"/>
          <w:lang w:bidi="fr-FR"/>
        </w:rPr>
        <w:t xml:space="preserve"> du Vermont.</w:t>
      </w:r>
    </w:p>
    <w:p w14:paraId="2061E522" w14:textId="77777777" w:rsidR="008123FF" w:rsidRPr="0046184C" w:rsidRDefault="008123FF">
      <w:pPr>
        <w:pStyle w:val="BodyText"/>
        <w:rPr>
          <w:sz w:val="19"/>
          <w:szCs w:val="22"/>
        </w:rPr>
      </w:pPr>
    </w:p>
    <w:p w14:paraId="66A01CAB" w14:textId="77777777" w:rsidR="008123FF" w:rsidRPr="0046184C" w:rsidRDefault="00000000">
      <w:pPr>
        <w:pStyle w:val="ListParagraph"/>
        <w:numPr>
          <w:ilvl w:val="0"/>
          <w:numId w:val="1"/>
        </w:numPr>
        <w:tabs>
          <w:tab w:val="left" w:pos="821"/>
        </w:tabs>
        <w:rPr>
          <w:szCs w:val="20"/>
        </w:rPr>
      </w:pPr>
      <w:r w:rsidRPr="0046184C">
        <w:rPr>
          <w:b/>
          <w:color w:val="2F2F2F"/>
          <w:szCs w:val="20"/>
          <w:lang w:bidi="fr-FR"/>
        </w:rPr>
        <w:t xml:space="preserve">Procurez-vous de l’eau depuis une source sûre connue. </w:t>
      </w:r>
      <w:r w:rsidRPr="0046184C">
        <w:rPr>
          <w:color w:val="2F2F2F"/>
          <w:szCs w:val="20"/>
          <w:lang w:bidi="fr-FR"/>
        </w:rPr>
        <w:t>Utilisez l’eau d’un bâtiment public desservi par l’eau de la ville qui ne figure pas sur un avis « Faire bouillir l’eau », ou d’amis ou de proches non touchés par les inondations. Utilisez de l’eau en bouteille tant que vous n’avez pas fait analyser votre eau. Sinon, appelez votre bureau municipal ou contactez le Vermont 211 pour obtenir de l’aide.</w:t>
      </w:r>
    </w:p>
    <w:p w14:paraId="2778CBBA" w14:textId="77777777" w:rsidR="008123FF" w:rsidRPr="0046184C" w:rsidRDefault="008123FF">
      <w:pPr>
        <w:pStyle w:val="BodyText"/>
        <w:rPr>
          <w:sz w:val="19"/>
          <w:szCs w:val="22"/>
        </w:rPr>
      </w:pPr>
    </w:p>
    <w:p w14:paraId="602C5EDB" w14:textId="77777777" w:rsidR="008123FF" w:rsidRPr="0046184C" w:rsidRDefault="00000000">
      <w:pPr>
        <w:pStyle w:val="ListParagraph"/>
        <w:numPr>
          <w:ilvl w:val="0"/>
          <w:numId w:val="1"/>
        </w:numPr>
        <w:tabs>
          <w:tab w:val="left" w:pos="821"/>
        </w:tabs>
        <w:spacing w:before="1"/>
        <w:ind w:right="746"/>
        <w:rPr>
          <w:szCs w:val="20"/>
        </w:rPr>
      </w:pPr>
      <w:r w:rsidRPr="0046184C">
        <w:rPr>
          <w:b/>
          <w:color w:val="2F2F2F"/>
          <w:szCs w:val="20"/>
          <w:lang w:bidi="fr-FR"/>
        </w:rPr>
        <w:t xml:space="preserve">Obtenez de l’aide pour un réseau de distribution d’eau privé défaillant. </w:t>
      </w:r>
      <w:r w:rsidRPr="0046184C">
        <w:rPr>
          <w:color w:val="1B1B1B"/>
          <w:szCs w:val="20"/>
          <w:lang w:bidi="fr-FR"/>
        </w:rPr>
        <w:t xml:space="preserve">Pour obtenir de l’aide sur le remplacement d’un réseau de distribution d’eau défaillant, appelez un </w:t>
      </w:r>
      <w:hyperlink r:id="rId8">
        <w:r w:rsidRPr="0046184C">
          <w:rPr>
            <w:color w:val="0462C1"/>
            <w:szCs w:val="20"/>
            <w:u w:val="single" w:color="0462C1"/>
            <w:lang w:bidi="fr-FR"/>
          </w:rPr>
          <w:t>foreur de puits</w:t>
        </w:r>
        <w:r w:rsidRPr="0046184C">
          <w:rPr>
            <w:color w:val="0462C1"/>
            <w:szCs w:val="20"/>
            <w:lang w:bidi="fr-FR"/>
          </w:rPr>
          <w:t xml:space="preserve"> </w:t>
        </w:r>
      </w:hyperlink>
      <w:r w:rsidRPr="0046184C">
        <w:rPr>
          <w:color w:val="1B1B1B"/>
          <w:szCs w:val="20"/>
          <w:lang w:bidi="fr-FR"/>
        </w:rPr>
        <w:t xml:space="preserve">ou votre </w:t>
      </w:r>
      <w:hyperlink r:id="rId9" w:anchor="romap">
        <w:r w:rsidRPr="0046184C">
          <w:rPr>
            <w:color w:val="0462C1"/>
            <w:szCs w:val="20"/>
            <w:u w:val="single" w:color="0462C1"/>
            <w:lang w:bidi="fr-FR"/>
          </w:rPr>
          <w:t>ingénieur régional</w:t>
        </w:r>
        <w:r w:rsidRPr="0046184C">
          <w:rPr>
            <w:color w:val="0462C1"/>
            <w:szCs w:val="20"/>
            <w:lang w:bidi="fr-FR"/>
          </w:rPr>
          <w:t xml:space="preserve"> </w:t>
        </w:r>
      </w:hyperlink>
      <w:r w:rsidRPr="0046184C">
        <w:rPr>
          <w:color w:val="1B1B1B"/>
          <w:szCs w:val="20"/>
          <w:lang w:bidi="fr-FR"/>
        </w:rPr>
        <w:t>pour obtenir des renseignements sur les permis et les exemptions de permis.</w:t>
      </w:r>
    </w:p>
    <w:p w14:paraId="213FF1EB" w14:textId="77777777" w:rsidR="008123FF" w:rsidRPr="0046184C" w:rsidRDefault="008123FF">
      <w:pPr>
        <w:pStyle w:val="BodyText"/>
        <w:spacing w:before="7"/>
        <w:rPr>
          <w:sz w:val="18"/>
          <w:szCs w:val="22"/>
        </w:rPr>
      </w:pPr>
    </w:p>
    <w:p w14:paraId="2D308F9A" w14:textId="77777777" w:rsidR="008123FF" w:rsidRPr="0046184C" w:rsidRDefault="00000000">
      <w:pPr>
        <w:pStyle w:val="ListParagraph"/>
        <w:numPr>
          <w:ilvl w:val="0"/>
          <w:numId w:val="1"/>
        </w:numPr>
        <w:tabs>
          <w:tab w:val="left" w:pos="821"/>
        </w:tabs>
        <w:ind w:right="562"/>
        <w:rPr>
          <w:szCs w:val="20"/>
        </w:rPr>
      </w:pPr>
      <w:r w:rsidRPr="0046184C">
        <w:rPr>
          <w:b/>
          <w:color w:val="2F2F2F"/>
          <w:szCs w:val="20"/>
          <w:lang w:bidi="fr-FR"/>
        </w:rPr>
        <w:t xml:space="preserve">Souvenez-vous. </w:t>
      </w:r>
      <w:r w:rsidRPr="0046184C">
        <w:rPr>
          <w:color w:val="2F2F2F"/>
          <w:szCs w:val="20"/>
          <w:lang w:bidi="fr-FR"/>
        </w:rPr>
        <w:t>Pendant et après les inondations, les réseaux de distribution d’eau privés (forages, sources et prises d’eau de surface) peuvent être contaminés par des micro-organismes et des produits chimiques qui peuvent causer des maladies graves. Après des inondations, l’eau peut être impropre à la consommation, à la cuisine ou au nettoyage tant qu’elle n’a pas été testée par un laboratoire certifié du Vermont et traitée en conséquence.</w:t>
      </w:r>
    </w:p>
    <w:p w14:paraId="3B01C882" w14:textId="77777777" w:rsidR="008123FF" w:rsidRPr="0046184C" w:rsidRDefault="008123FF">
      <w:pPr>
        <w:pStyle w:val="BodyText"/>
        <w:rPr>
          <w:sz w:val="19"/>
          <w:szCs w:val="22"/>
        </w:rPr>
      </w:pPr>
    </w:p>
    <w:p w14:paraId="4E75FA98" w14:textId="77777777" w:rsidR="008123FF" w:rsidRPr="0046184C" w:rsidRDefault="00000000">
      <w:pPr>
        <w:spacing w:before="1" w:line="206" w:lineRule="exact"/>
        <w:ind w:left="100"/>
        <w:rPr>
          <w:b/>
          <w:sz w:val="16"/>
          <w:szCs w:val="20"/>
        </w:rPr>
      </w:pPr>
      <w:r w:rsidRPr="0046184C">
        <w:rPr>
          <w:b/>
          <w:color w:val="2F2F2F"/>
          <w:sz w:val="16"/>
          <w:szCs w:val="20"/>
          <w:lang w:bidi="fr-FR"/>
        </w:rPr>
        <w:t>Avis de non-discrimination :</w:t>
      </w:r>
    </w:p>
    <w:p w14:paraId="1F1B6B1E" w14:textId="77777777" w:rsidR="008123FF" w:rsidRPr="0046184C" w:rsidRDefault="00000000">
      <w:pPr>
        <w:ind w:left="100" w:right="637"/>
        <w:rPr>
          <w:sz w:val="16"/>
          <w:szCs w:val="20"/>
        </w:rPr>
      </w:pPr>
      <w:r w:rsidRPr="0046184C">
        <w:rPr>
          <w:color w:val="2F2F2F"/>
          <w:sz w:val="16"/>
          <w:szCs w:val="20"/>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79E925D4" w14:textId="77777777" w:rsidR="008123FF" w:rsidRPr="0046184C" w:rsidRDefault="008123FF">
      <w:pPr>
        <w:pStyle w:val="BodyText"/>
        <w:rPr>
          <w:sz w:val="16"/>
          <w:szCs w:val="22"/>
        </w:rPr>
      </w:pPr>
    </w:p>
    <w:p w14:paraId="026DA840" w14:textId="77777777" w:rsidR="00DF60A4" w:rsidRDefault="00DF60A4">
      <w:pPr>
        <w:spacing w:before="1" w:line="206" w:lineRule="exact"/>
        <w:ind w:left="100"/>
        <w:rPr>
          <w:b/>
          <w:color w:val="2F2F2F"/>
          <w:sz w:val="16"/>
          <w:szCs w:val="20"/>
          <w:lang w:bidi="fr-FR"/>
        </w:rPr>
      </w:pPr>
    </w:p>
    <w:p w14:paraId="005D1E3F" w14:textId="55F3BB84" w:rsidR="008123FF" w:rsidRPr="0046184C" w:rsidRDefault="00000000">
      <w:pPr>
        <w:spacing w:before="1" w:line="206" w:lineRule="exact"/>
        <w:ind w:left="100"/>
        <w:rPr>
          <w:b/>
          <w:sz w:val="16"/>
          <w:szCs w:val="20"/>
        </w:rPr>
      </w:pPr>
      <w:r w:rsidRPr="0046184C">
        <w:rPr>
          <w:b/>
          <w:color w:val="2F2F2F"/>
          <w:sz w:val="16"/>
          <w:szCs w:val="20"/>
          <w:lang w:bidi="fr-FR"/>
        </w:rPr>
        <w:t>Avis relatif à l’accès linguistique :</w:t>
      </w:r>
    </w:p>
    <w:p w14:paraId="5205305C" w14:textId="759E3B44" w:rsidR="008123FF" w:rsidRPr="0046184C" w:rsidRDefault="00DF60A4" w:rsidP="00E41AC0">
      <w:pPr>
        <w:spacing w:line="276" w:lineRule="auto"/>
        <w:ind w:left="100" w:right="637"/>
        <w:rPr>
          <w:sz w:val="18"/>
          <w:szCs w:val="20"/>
        </w:rPr>
      </w:pPr>
      <w:r w:rsidRPr="00577594">
        <w:rPr>
          <w:rFonts w:cs="Myanmar Text"/>
          <w:noProof/>
          <w:color w:val="2F2F2F"/>
          <w:sz w:val="18"/>
          <w:szCs w:val="18"/>
          <w:cs/>
          <w:lang w:bidi="my-MM"/>
        </w:rPr>
        <w:drawing>
          <wp:inline distT="0" distB="0" distL="0" distR="0" wp14:anchorId="5254963D" wp14:editId="5B12594C">
            <wp:extent cx="6819900" cy="923925"/>
            <wp:effectExtent l="0" t="0" r="0" b="9525"/>
            <wp:docPr id="195436170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361709" name="Picture 1" descr="A close up of a text&#10;&#10;Description automatically generated"/>
                    <pic:cNvPicPr/>
                  </pic:nvPicPr>
                  <pic:blipFill>
                    <a:blip r:embed="rId10"/>
                    <a:stretch>
                      <a:fillRect/>
                    </a:stretch>
                  </pic:blipFill>
                  <pic:spPr>
                    <a:xfrm>
                      <a:off x="0" y="0"/>
                      <a:ext cx="6819900" cy="923925"/>
                    </a:xfrm>
                    <a:prstGeom prst="rect">
                      <a:avLst/>
                    </a:prstGeom>
                  </pic:spPr>
                </pic:pic>
              </a:graphicData>
            </a:graphic>
          </wp:inline>
        </w:drawing>
      </w:r>
    </w:p>
    <w:sectPr w:rsidR="008123FF" w:rsidRPr="0046184C" w:rsidSect="00DF60A4">
      <w:headerReference w:type="default" r:id="rId11"/>
      <w:footerReference w:type="default" r:id="rId12"/>
      <w:type w:val="continuous"/>
      <w:pgSz w:w="12240" w:h="15840"/>
      <w:pgMar w:top="640" w:right="520" w:bottom="2552" w:left="98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1B98" w14:textId="77777777" w:rsidR="00876275" w:rsidRDefault="00876275" w:rsidP="00E41AC0">
      <w:r>
        <w:separator/>
      </w:r>
    </w:p>
  </w:endnote>
  <w:endnote w:type="continuationSeparator" w:id="0">
    <w:p w14:paraId="769D7463" w14:textId="77777777" w:rsidR="00876275" w:rsidRDefault="00876275" w:rsidP="00E4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2CFF" w14:textId="039272A0" w:rsidR="00E41AC0" w:rsidRDefault="00E41AC0" w:rsidP="00E41AC0">
    <w:pPr>
      <w:pStyle w:val="BodyText"/>
      <w:tabs>
        <w:tab w:val="left" w:pos="4842"/>
      </w:tabs>
      <w:spacing w:before="92"/>
      <w:ind w:left="100"/>
    </w:pPr>
    <w:r w:rsidRPr="00E41AC0">
      <w:rPr>
        <w:noProof/>
        <w:lang w:bidi="fr-FR"/>
      </w:rPr>
      <w:drawing>
        <wp:anchor distT="0" distB="0" distL="0" distR="0" simplePos="0" relativeHeight="251658752" behindDoc="0" locked="0" layoutInCell="1" allowOverlap="1" wp14:anchorId="6C1FEDF2" wp14:editId="1FF846A4">
          <wp:simplePos x="0" y="0"/>
          <wp:positionH relativeFrom="page">
            <wp:posOffset>5212079</wp:posOffset>
          </wp:positionH>
          <wp:positionV relativeFrom="paragraph">
            <wp:posOffset>-59590</wp:posOffset>
          </wp:positionV>
          <wp:extent cx="2155189" cy="457200"/>
          <wp:effectExtent l="0" t="0" r="0" b="0"/>
          <wp:wrapNone/>
          <wp:docPr id="1209268038" name="Picture 120926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sidRPr="00E41AC0">
      <w:rPr>
        <w:color w:val="2F2F2F"/>
        <w:lang w:bidi="fr-FR"/>
      </w:rPr>
      <w:t>Révisé : le 15 juillet 2023</w:t>
    </w:r>
    <w:r w:rsidRPr="00E41AC0">
      <w:rPr>
        <w:color w:val="2F2F2F"/>
        <w:lang w:bidi="fr-FR"/>
      </w:rPr>
      <w:tab/>
      <w:t>1 sur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E88A" w14:textId="77777777" w:rsidR="00876275" w:rsidRDefault="00876275" w:rsidP="00E41AC0">
      <w:r>
        <w:separator/>
      </w:r>
    </w:p>
  </w:footnote>
  <w:footnote w:type="continuationSeparator" w:id="0">
    <w:p w14:paraId="6E5C65BD" w14:textId="77777777" w:rsidR="00876275" w:rsidRDefault="00876275" w:rsidP="00E4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6FAA" w14:textId="77777777" w:rsidR="0046184C" w:rsidRPr="00E41AC0" w:rsidRDefault="0046184C" w:rsidP="0046184C">
    <w:pPr>
      <w:pStyle w:val="BodyText"/>
      <w:spacing w:before="80" w:line="275" w:lineRule="exact"/>
      <w:ind w:left="700"/>
    </w:pPr>
    <w:r w:rsidRPr="00E41AC0">
      <w:rPr>
        <w:noProof/>
        <w:lang w:bidi="fr-FR"/>
      </w:rPr>
      <w:drawing>
        <wp:anchor distT="0" distB="0" distL="0" distR="0" simplePos="0" relativeHeight="251660800" behindDoc="0" locked="0" layoutInCell="1" allowOverlap="1" wp14:anchorId="037871BA" wp14:editId="3EAFAAD6">
          <wp:simplePos x="0" y="0"/>
          <wp:positionH relativeFrom="page">
            <wp:posOffset>685800</wp:posOffset>
          </wp:positionH>
          <wp:positionV relativeFrom="paragraph">
            <wp:posOffset>50505</wp:posOffset>
          </wp:positionV>
          <wp:extent cx="240722" cy="365239"/>
          <wp:effectExtent l="0" t="0" r="0" b="0"/>
          <wp:wrapNone/>
          <wp:docPr id="667439034" name="Picture 667439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2" cy="365239"/>
                  </a:xfrm>
                  <a:prstGeom prst="rect">
                    <a:avLst/>
                  </a:prstGeom>
                </pic:spPr>
              </pic:pic>
            </a:graphicData>
          </a:graphic>
        </wp:anchor>
      </w:drawing>
    </w:r>
    <w:r w:rsidRPr="00E41AC0">
      <w:rPr>
        <w:color w:val="2F2F2F"/>
        <w:lang w:bidi="fr-FR"/>
      </w:rPr>
      <w:t>État du Vermont, Agence des ressources naturelles</w:t>
    </w:r>
  </w:p>
  <w:p w14:paraId="552B9177" w14:textId="77777777" w:rsidR="0046184C" w:rsidRPr="00E41AC0" w:rsidRDefault="0046184C" w:rsidP="0046184C">
    <w:pPr>
      <w:spacing w:line="275" w:lineRule="exact"/>
      <w:ind w:left="700"/>
      <w:rPr>
        <w:b/>
        <w:sz w:val="24"/>
      </w:rPr>
    </w:pPr>
    <w:r w:rsidRPr="00E41AC0">
      <w:rPr>
        <w:b/>
        <w:color w:val="2F2F2F"/>
        <w:sz w:val="24"/>
        <w:lang w:bidi="fr-FR"/>
      </w:rPr>
      <w:t>Ressources de récupération post-inondations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30364"/>
    <w:multiLevelType w:val="hybridMultilevel"/>
    <w:tmpl w:val="77D0D320"/>
    <w:lvl w:ilvl="0" w:tplc="240A000B">
      <w:start w:val="1"/>
      <w:numFmt w:val="bullet"/>
      <w:lvlText w:val=""/>
      <w:lvlJc w:val="left"/>
      <w:pPr>
        <w:ind w:left="821" w:hanging="296"/>
      </w:pPr>
      <w:rPr>
        <w:rFonts w:ascii="Wingdings" w:hAnsi="Wingdings" w:hint="default"/>
        <w:color w:val="2F2F2F"/>
        <w:w w:val="52"/>
        <w:sz w:val="20"/>
        <w:szCs w:val="20"/>
        <w:lang w:val="en-US" w:eastAsia="en-US" w:bidi="ar-SA"/>
      </w:rPr>
    </w:lvl>
    <w:lvl w:ilvl="1" w:tplc="63EA7E84">
      <w:numFmt w:val="bullet"/>
      <w:lvlText w:val="•"/>
      <w:lvlJc w:val="left"/>
      <w:pPr>
        <w:ind w:left="1812" w:hanging="296"/>
      </w:pPr>
      <w:rPr>
        <w:rFonts w:hint="default"/>
        <w:lang w:val="en-US" w:eastAsia="en-US" w:bidi="ar-SA"/>
      </w:rPr>
    </w:lvl>
    <w:lvl w:ilvl="2" w:tplc="32A8DB54">
      <w:numFmt w:val="bullet"/>
      <w:lvlText w:val="•"/>
      <w:lvlJc w:val="left"/>
      <w:pPr>
        <w:ind w:left="2804" w:hanging="296"/>
      </w:pPr>
      <w:rPr>
        <w:rFonts w:hint="default"/>
        <w:lang w:val="en-US" w:eastAsia="en-US" w:bidi="ar-SA"/>
      </w:rPr>
    </w:lvl>
    <w:lvl w:ilvl="3" w:tplc="D3864C2E">
      <w:numFmt w:val="bullet"/>
      <w:lvlText w:val="•"/>
      <w:lvlJc w:val="left"/>
      <w:pPr>
        <w:ind w:left="3796" w:hanging="296"/>
      </w:pPr>
      <w:rPr>
        <w:rFonts w:hint="default"/>
        <w:lang w:val="en-US" w:eastAsia="en-US" w:bidi="ar-SA"/>
      </w:rPr>
    </w:lvl>
    <w:lvl w:ilvl="4" w:tplc="D3D29FAE">
      <w:numFmt w:val="bullet"/>
      <w:lvlText w:val="•"/>
      <w:lvlJc w:val="left"/>
      <w:pPr>
        <w:ind w:left="4788" w:hanging="296"/>
      </w:pPr>
      <w:rPr>
        <w:rFonts w:hint="default"/>
        <w:lang w:val="en-US" w:eastAsia="en-US" w:bidi="ar-SA"/>
      </w:rPr>
    </w:lvl>
    <w:lvl w:ilvl="5" w:tplc="7B3E72FA">
      <w:numFmt w:val="bullet"/>
      <w:lvlText w:val="•"/>
      <w:lvlJc w:val="left"/>
      <w:pPr>
        <w:ind w:left="5780" w:hanging="296"/>
      </w:pPr>
      <w:rPr>
        <w:rFonts w:hint="default"/>
        <w:lang w:val="en-US" w:eastAsia="en-US" w:bidi="ar-SA"/>
      </w:rPr>
    </w:lvl>
    <w:lvl w:ilvl="6" w:tplc="42483A12">
      <w:numFmt w:val="bullet"/>
      <w:lvlText w:val="•"/>
      <w:lvlJc w:val="left"/>
      <w:pPr>
        <w:ind w:left="6772" w:hanging="296"/>
      </w:pPr>
      <w:rPr>
        <w:rFonts w:hint="default"/>
        <w:lang w:val="en-US" w:eastAsia="en-US" w:bidi="ar-SA"/>
      </w:rPr>
    </w:lvl>
    <w:lvl w:ilvl="7" w:tplc="232CAD12">
      <w:numFmt w:val="bullet"/>
      <w:lvlText w:val="•"/>
      <w:lvlJc w:val="left"/>
      <w:pPr>
        <w:ind w:left="7764" w:hanging="296"/>
      </w:pPr>
      <w:rPr>
        <w:rFonts w:hint="default"/>
        <w:lang w:val="en-US" w:eastAsia="en-US" w:bidi="ar-SA"/>
      </w:rPr>
    </w:lvl>
    <w:lvl w:ilvl="8" w:tplc="3E466C8E">
      <w:numFmt w:val="bullet"/>
      <w:lvlText w:val="•"/>
      <w:lvlJc w:val="left"/>
      <w:pPr>
        <w:ind w:left="8756" w:hanging="296"/>
      </w:pPr>
      <w:rPr>
        <w:rFonts w:hint="default"/>
        <w:lang w:val="en-US" w:eastAsia="en-US" w:bidi="ar-SA"/>
      </w:rPr>
    </w:lvl>
  </w:abstractNum>
  <w:num w:numId="1" w16cid:durableId="22518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23FF"/>
    <w:rsid w:val="0046184C"/>
    <w:rsid w:val="008123FF"/>
    <w:rsid w:val="00876275"/>
    <w:rsid w:val="00AE6839"/>
    <w:rsid w:val="00B01C8C"/>
    <w:rsid w:val="00D24612"/>
    <w:rsid w:val="00DF60A4"/>
    <w:rsid w:val="00E41AC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
  <w:listSeparator w:val=";"/>
  <w14:docId w14:val="29C2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415"/>
    </w:pPr>
    <w:rPr>
      <w:sz w:val="52"/>
      <w:szCs w:val="52"/>
    </w:rPr>
  </w:style>
  <w:style w:type="paragraph" w:styleId="ListParagraph">
    <w:name w:val="List Paragraph"/>
    <w:basedOn w:val="Normal"/>
    <w:uiPriority w:val="1"/>
    <w:qFormat/>
    <w:pPr>
      <w:ind w:left="821" w:right="560" w:hanging="2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1AC0"/>
    <w:pPr>
      <w:tabs>
        <w:tab w:val="center" w:pos="4419"/>
        <w:tab w:val="right" w:pos="8838"/>
      </w:tabs>
    </w:pPr>
  </w:style>
  <w:style w:type="character" w:customStyle="1" w:styleId="HeaderChar">
    <w:name w:val="Header Char"/>
    <w:basedOn w:val="DefaultParagraphFont"/>
    <w:link w:val="Header"/>
    <w:uiPriority w:val="99"/>
    <w:rsid w:val="00E41AC0"/>
    <w:rPr>
      <w:rFonts w:ascii="Arial MT" w:eastAsia="Arial MT" w:hAnsi="Arial MT" w:cs="Arial MT"/>
    </w:rPr>
  </w:style>
  <w:style w:type="paragraph" w:styleId="Footer">
    <w:name w:val="footer"/>
    <w:basedOn w:val="Normal"/>
    <w:link w:val="FooterChar"/>
    <w:uiPriority w:val="99"/>
    <w:unhideWhenUsed/>
    <w:rsid w:val="00E41AC0"/>
    <w:pPr>
      <w:tabs>
        <w:tab w:val="center" w:pos="4419"/>
        <w:tab w:val="right" w:pos="8838"/>
      </w:tabs>
    </w:pPr>
  </w:style>
  <w:style w:type="character" w:customStyle="1" w:styleId="FooterChar">
    <w:name w:val="Footer Char"/>
    <w:basedOn w:val="DefaultParagraphFont"/>
    <w:link w:val="Footer"/>
    <w:uiPriority w:val="99"/>
    <w:rsid w:val="00E41AC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sites/dec/files/dwgwp/DW/WellDrillersV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vermont.gov/environment/drinking-water/after-flood-private-drinking-water-guidanc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ec.vermont.gov/water/ww-syste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EF90EBEA-4465-4D3D-A67F-00D54F976FBC}"/>
</file>

<file path=customXml/itemProps2.xml><?xml version="1.0" encoding="utf-8"?>
<ds:datastoreItem xmlns:ds="http://schemas.openxmlformats.org/officeDocument/2006/customXml" ds:itemID="{0EE1A082-D776-45A8-BA81-A3B744329BE5}"/>
</file>

<file path=customXml/itemProps3.xml><?xml version="1.0" encoding="utf-8"?>
<ds:datastoreItem xmlns:ds="http://schemas.openxmlformats.org/officeDocument/2006/customXml" ds:itemID="{D0EEE16E-CB21-4D3C-849C-8383703C4E31}"/>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2843</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2023-07-18T16:31:00Z</dcterms:created>
  <dcterms:modified xsi:type="dcterms:W3CDTF">2023-07-19T18:55:00Z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