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6F8" w14:textId="77777777" w:rsidR="008123FF" w:rsidRPr="00C613B2" w:rsidRDefault="00000000">
      <w:pPr>
        <w:pStyle w:val="BodyText"/>
        <w:bidi/>
        <w:spacing w:before="80" w:line="275" w:lineRule="exact"/>
        <w:ind w:left="700"/>
        <w:rPr>
          <w:rFonts w:ascii="Arial" w:hAnsi="Arial" w:cs="Arial"/>
        </w:rPr>
      </w:pPr>
      <w:r w:rsidRPr="00C613B2">
        <w:rPr>
          <w:rFonts w:ascii="Arial" w:hAnsi="Arial" w:cs="Arial"/>
          <w:noProof/>
          <w:rtl/>
          <w:lang w:eastAsia="ps" w:bidi="ps-AF"/>
        </w:rPr>
        <w:drawing>
          <wp:anchor distT="0" distB="0" distL="0" distR="0" simplePos="0" relativeHeight="251657216" behindDoc="0" locked="0" layoutInCell="1" allowOverlap="1" wp14:anchorId="7569E120" wp14:editId="1D8EE804">
            <wp:simplePos x="0" y="0"/>
            <wp:positionH relativeFrom="page">
              <wp:posOffset>7124207</wp:posOffset>
            </wp:positionH>
            <wp:positionV relativeFrom="paragraph">
              <wp:posOffset>-21087</wp:posOffset>
            </wp:positionV>
            <wp:extent cx="240722" cy="3652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3B2">
        <w:rPr>
          <w:rFonts w:ascii="Arial" w:hAnsi="Arial" w:cs="Arial"/>
          <w:color w:val="2F2F2F"/>
          <w:rtl/>
          <w:lang w:eastAsia="ps" w:bidi="ps-AF"/>
        </w:rPr>
        <w:t xml:space="preserve">د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ورمونټ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ایالت، د طبیعي سرچینو اداره</w:t>
      </w:r>
    </w:p>
    <w:p w14:paraId="35C5A676" w14:textId="6F4D09CA" w:rsidR="008123FF" w:rsidRPr="00C613B2" w:rsidRDefault="00000000" w:rsidP="007261FB">
      <w:pPr>
        <w:bidi/>
        <w:spacing w:line="275" w:lineRule="exact"/>
        <w:ind w:left="700"/>
        <w:rPr>
          <w:rFonts w:ascii="Arial" w:hAnsi="Arial" w:cs="Arial"/>
          <w:b/>
          <w:sz w:val="24"/>
        </w:rPr>
      </w:pPr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د سېلاب د </w:t>
      </w: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خسارې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د جبران سرچینې</w:t>
      </w:r>
      <w:r>
        <w:rPr>
          <w:rFonts w:ascii="Arial" w:hAnsi="Arial" w:cs="Arial"/>
          <w:sz w:val="24"/>
          <w:lang w:eastAsia="ps" w:bidi="ps-AF"/>
        </w:rPr>
        <w:pict w14:anchorId="4E1E091C">
          <v:shape id="_x0000_s2050" style="position:absolute;left:0;text-align:left;margin-left:54.05pt;margin-top:14pt;width:504.25pt;height:.5pt;z-index:-251658240;mso-wrap-distance-left:0;mso-wrap-distance-right:0;mso-position-horizontal-relative:page;mso-position-vertical-relative:text" coordorigin="1081,280" coordsize="10085,10" o:spt="100" adj="0,,0" path="m11160,280r-10074,l1081,280r,5l1081,290r5,l11160,290r,-5l11160,280xm11165,280r-5,l11160,285r,5l11165,290r,-5l1116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A8FC8FE" w14:textId="77777777" w:rsidR="008123FF" w:rsidRPr="00C613B2" w:rsidRDefault="008123FF">
      <w:pPr>
        <w:pStyle w:val="BodyText"/>
        <w:bidi/>
        <w:spacing w:before="9"/>
        <w:rPr>
          <w:rFonts w:ascii="Arial" w:hAnsi="Arial" w:cs="Arial"/>
          <w:b/>
          <w:sz w:val="14"/>
        </w:rPr>
      </w:pPr>
    </w:p>
    <w:p w14:paraId="791EA717" w14:textId="77777777" w:rsidR="008123FF" w:rsidRPr="00C613B2" w:rsidRDefault="00000000" w:rsidP="007261FB">
      <w:pPr>
        <w:pStyle w:val="Title"/>
        <w:bidi/>
        <w:jc w:val="center"/>
        <w:rPr>
          <w:rFonts w:ascii="Arial" w:hAnsi="Arial" w:cs="Arial"/>
          <w:sz w:val="48"/>
          <w:szCs w:val="48"/>
        </w:rPr>
      </w:pPr>
      <w:bookmarkStart w:id="0" w:name="Private_Drinking_Water_System_Guidance"/>
      <w:bookmarkEnd w:id="0"/>
      <w:r w:rsidRPr="00C613B2">
        <w:rPr>
          <w:rFonts w:ascii="Arial" w:hAnsi="Arial" w:cs="Arial"/>
          <w:color w:val="2F2F2F"/>
          <w:sz w:val="48"/>
          <w:szCs w:val="48"/>
          <w:rtl/>
          <w:lang w:eastAsia="ps" w:bidi="ps-AF"/>
        </w:rPr>
        <w:t xml:space="preserve">د څښاک د اوبو د </w:t>
      </w:r>
      <w:proofErr w:type="spellStart"/>
      <w:r w:rsidRPr="00C613B2">
        <w:rPr>
          <w:rFonts w:ascii="Arial" w:hAnsi="Arial" w:cs="Arial"/>
          <w:color w:val="2F2F2F"/>
          <w:sz w:val="48"/>
          <w:szCs w:val="48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color w:val="2F2F2F"/>
          <w:sz w:val="48"/>
          <w:szCs w:val="48"/>
          <w:rtl/>
          <w:lang w:eastAsia="ps" w:bidi="ps-AF"/>
        </w:rPr>
        <w:t xml:space="preserve"> سیستم لارښود</w:t>
      </w:r>
    </w:p>
    <w:p w14:paraId="27FD1013" w14:textId="77777777" w:rsidR="008123FF" w:rsidRPr="00C613B2" w:rsidRDefault="00000000">
      <w:pPr>
        <w:pStyle w:val="Heading1"/>
        <w:bidi/>
        <w:spacing w:before="253"/>
      </w:pPr>
      <w:bookmarkStart w:id="1" w:name="How_do_I_know_if_my_water_is_a_private_d"/>
      <w:bookmarkEnd w:id="1"/>
      <w:r w:rsidRPr="00C613B2">
        <w:rPr>
          <w:color w:val="007940"/>
          <w:rtl/>
          <w:lang w:eastAsia="ps" w:bidi="ps-AF"/>
        </w:rPr>
        <w:t xml:space="preserve">زه به څنګه پوهېږم چې زما اوبه د څښاک د اوبو له </w:t>
      </w:r>
      <w:proofErr w:type="spellStart"/>
      <w:r w:rsidRPr="00C613B2">
        <w:rPr>
          <w:color w:val="007940"/>
          <w:rtl/>
          <w:lang w:eastAsia="ps" w:bidi="ps-AF"/>
        </w:rPr>
        <w:t>خصوصي</w:t>
      </w:r>
      <w:proofErr w:type="spellEnd"/>
      <w:r w:rsidRPr="00C613B2">
        <w:rPr>
          <w:color w:val="007940"/>
          <w:rtl/>
          <w:lang w:eastAsia="ps" w:bidi="ps-AF"/>
        </w:rPr>
        <w:t xml:space="preserve"> سیستم څخه دي او که نه؟</w:t>
      </w:r>
    </w:p>
    <w:p w14:paraId="325E5FFA" w14:textId="77777777" w:rsidR="008123FF" w:rsidRPr="00C613B2" w:rsidRDefault="00000000">
      <w:pPr>
        <w:pStyle w:val="BodyText"/>
        <w:bidi/>
        <w:spacing w:before="115"/>
        <w:ind w:left="100" w:right="637"/>
        <w:rPr>
          <w:rFonts w:ascii="Arial" w:hAnsi="Arial" w:cs="Arial"/>
        </w:rPr>
      </w:pP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عموماً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، که چېرته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خپله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، چینه، د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سطحې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اوبو اخیستنه لرئ، یا له یو څو کورونو سره په شریکه اوبه لرئ، نو دا په ټوله کې د اوبو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سیستم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ګنل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کېږي. که چېرته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د اوبو له یوه عامه سیستم څخه اوبه ترلاسه کوئ، نو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یا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ستاسو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د کور مالک به د اوبو یو بل تادیه کوئ. په ځینو حالاتو کې په کوچنیو ټولنو کې دا </w:t>
      </w:r>
      <w:proofErr w:type="spellStart"/>
      <w:r w:rsidRPr="00C613B2">
        <w:rPr>
          <w:rFonts w:ascii="Arial" w:hAnsi="Arial" w:cs="Arial"/>
          <w:color w:val="2F2F2F"/>
          <w:rtl/>
          <w:lang w:eastAsia="ps" w:bidi="ps-AF"/>
        </w:rPr>
        <w:t>مورد</w:t>
      </w:r>
      <w:proofErr w:type="spellEnd"/>
      <w:r w:rsidRPr="00C613B2">
        <w:rPr>
          <w:rFonts w:ascii="Arial" w:hAnsi="Arial" w:cs="Arial"/>
          <w:color w:val="2F2F2F"/>
          <w:rtl/>
          <w:lang w:eastAsia="ps" w:bidi="ps-AF"/>
        </w:rPr>
        <w:t xml:space="preserve"> نشته.</w:t>
      </w:r>
    </w:p>
    <w:p w14:paraId="6994C0B3" w14:textId="77777777" w:rsidR="008123FF" w:rsidRPr="00C613B2" w:rsidRDefault="008123FF">
      <w:pPr>
        <w:pStyle w:val="BodyText"/>
        <w:bidi/>
        <w:spacing w:before="3"/>
        <w:rPr>
          <w:rFonts w:ascii="Arial" w:hAnsi="Arial" w:cs="Arial"/>
          <w:sz w:val="21"/>
        </w:rPr>
      </w:pPr>
    </w:p>
    <w:p w14:paraId="0AB18CCA" w14:textId="77777777" w:rsidR="008123FF" w:rsidRPr="00C613B2" w:rsidRDefault="00000000">
      <w:pPr>
        <w:pStyle w:val="Heading1"/>
        <w:bidi/>
      </w:pPr>
      <w:bookmarkStart w:id="2" w:name="What_do_I_do_if_my_private_water_source_"/>
      <w:bookmarkEnd w:id="2"/>
      <w:r w:rsidRPr="00C613B2">
        <w:rPr>
          <w:color w:val="007940"/>
          <w:rtl/>
          <w:lang w:eastAsia="ps" w:bidi="ps-AF"/>
        </w:rPr>
        <w:t xml:space="preserve">که چېرته زما د اوبو </w:t>
      </w:r>
      <w:proofErr w:type="spellStart"/>
      <w:r w:rsidRPr="00C613B2">
        <w:rPr>
          <w:color w:val="007940"/>
          <w:rtl/>
          <w:lang w:eastAsia="ps" w:bidi="ps-AF"/>
        </w:rPr>
        <w:t>خصوصي</w:t>
      </w:r>
      <w:proofErr w:type="spellEnd"/>
      <w:r w:rsidRPr="00C613B2">
        <w:rPr>
          <w:color w:val="007940"/>
          <w:rtl/>
          <w:lang w:eastAsia="ps" w:bidi="ps-AF"/>
        </w:rPr>
        <w:t xml:space="preserve"> سیستم د سېلاب له امله زیانمن شي، نو باید څه وکړم؟</w:t>
      </w:r>
    </w:p>
    <w:p w14:paraId="5872DB3A" w14:textId="77777777" w:rsidR="008123FF" w:rsidRPr="00C613B2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15"/>
        <w:ind w:right="661"/>
        <w:rPr>
          <w:rFonts w:ascii="Arial" w:hAnsi="Arial" w:cs="Arial"/>
          <w:sz w:val="24"/>
        </w:rPr>
      </w:pPr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داسې وګڼئ چې </w:t>
      </w: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ستاسو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اوبه ککړې شوې دي. </w:t>
      </w:r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که چېرې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تاسو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د اوبو یوه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یا چینه لرئ او د سېلاب اوبه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ستاسو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ته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درورسي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، نو داسې وګڼئ چې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ستاسو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اوبه ککړې شوې. له خپلې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یا چینې څخه تر هغې پورې اوبه مه کاروئ تر څو مو چې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کړې نه وي او پایلو یې ښودلې نه وي چې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ستاسو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اوبه له ککړتیا څخه پاکې دي.</w:t>
      </w:r>
    </w:p>
    <w:p w14:paraId="4951229A" w14:textId="77777777" w:rsidR="008123FF" w:rsidRPr="00C613B2" w:rsidRDefault="008123FF">
      <w:pPr>
        <w:pStyle w:val="BodyText"/>
        <w:bidi/>
        <w:rPr>
          <w:rFonts w:ascii="Arial" w:hAnsi="Arial" w:cs="Arial"/>
          <w:sz w:val="21"/>
        </w:rPr>
      </w:pPr>
    </w:p>
    <w:p w14:paraId="48A94250" w14:textId="7D18D312" w:rsidR="008123FF" w:rsidRPr="00C613B2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ind w:right="956"/>
        <w:rPr>
          <w:rFonts w:ascii="Arial" w:hAnsi="Arial" w:cs="Arial"/>
          <w:sz w:val="24"/>
        </w:rPr>
      </w:pP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وړیا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کول ترلاسه کړئ.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وړیا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کول د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 چینې د هغو مالکانو لپاره د لاسرسي وړ دي چې د اوبو سیستم یې د سېلابونو له امله زیانمن شوی وي. </w:t>
      </w:r>
      <w:r w:rsidR="0030252F" w:rsidRPr="0030252F">
        <w:rPr>
          <w:rFonts w:ascii="Arial" w:hAnsi="Arial" w:cs="Arial"/>
          <w:color w:val="2F2F2F"/>
          <w:lang w:eastAsia="ps" w:bidi="ps-AF"/>
        </w:rPr>
        <w:t>4724</w:t>
      </w:r>
      <w:r w:rsidRPr="0030252F">
        <w:rPr>
          <w:rFonts w:ascii="Arial" w:hAnsi="Arial" w:cs="Arial"/>
          <w:color w:val="2F2F2F"/>
          <w:rtl/>
          <w:lang w:eastAsia="ps" w:bidi="ps-AF"/>
        </w:rPr>
        <w:t>-338-</w:t>
      </w:r>
      <w:r w:rsidR="0030252F" w:rsidRPr="0030252F">
        <w:rPr>
          <w:rFonts w:ascii="Arial" w:hAnsi="Arial" w:cs="Arial"/>
          <w:color w:val="2F2F2F"/>
          <w:lang w:eastAsia="ps" w:bidi="ps-AF"/>
        </w:rPr>
        <w:t>802</w:t>
      </w:r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شمېرې ته زنګ ووهئ تر څو د څښاک د اوبو د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وړیا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کولو غوښتنه وکړئ او هغه ککړتیا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کړئ چې په ټوله کې د سېلاب له امله را منځته کېږي. نور معلومات د </w:t>
      </w:r>
      <w:hyperlink r:id="rId8"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وېرمونټ</w:t>
        </w:r>
        <w:proofErr w:type="spellEnd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 xml:space="preserve"> د روغتیا له </w:t>
        </w:r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ډیپارتمنت</w:t>
        </w:r>
        <w:proofErr w:type="spellEnd"/>
      </w:hyperlink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څخه ترلاسه کړئ.</w:t>
      </w:r>
    </w:p>
    <w:p w14:paraId="2061E522" w14:textId="77777777" w:rsidR="008123FF" w:rsidRPr="00C613B2" w:rsidRDefault="008123FF">
      <w:pPr>
        <w:pStyle w:val="BodyText"/>
        <w:bidi/>
        <w:rPr>
          <w:rFonts w:ascii="Arial" w:hAnsi="Arial" w:cs="Arial"/>
          <w:sz w:val="21"/>
        </w:rPr>
      </w:pPr>
    </w:p>
    <w:p w14:paraId="66A01CAB" w14:textId="77777777" w:rsidR="008123FF" w:rsidRPr="00C613B2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rPr>
          <w:rFonts w:ascii="Arial" w:hAnsi="Arial" w:cs="Arial"/>
          <w:sz w:val="24"/>
        </w:rPr>
      </w:pPr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اوبه له یوې معلومې خوندي سرچینې څخه ترلاسه کړئ. </w:t>
      </w:r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د داسې عامه ودانۍ اوبه وکاروئ چې د ښارګوټي یا ښار د اوبو رسونې له لارې چمتو کېږي او په هغه سیمه کې د جوش اوبو د کارولو خبرتیا ورکړل شوې نه وي، یا یې له ملګرو او کورنۍ څخه ترلاسه کړئ. تر څو مو چې خپلې اوبه نه وي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کړې، د بوتل اوبه وکاروئ. یا د مرستې ترلاسه کولو لپاره د خپل ښارګوټي ادارې ته زنګ ووهئ یا د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وېرمونټ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له ادارې سره په 211 شمېره اړیکه ونیسئ.</w:t>
      </w:r>
    </w:p>
    <w:p w14:paraId="2778CBBA" w14:textId="77777777" w:rsidR="008123FF" w:rsidRPr="00C613B2" w:rsidRDefault="008123FF">
      <w:pPr>
        <w:pStyle w:val="BodyText"/>
        <w:bidi/>
        <w:rPr>
          <w:rFonts w:ascii="Arial" w:hAnsi="Arial" w:cs="Arial"/>
          <w:sz w:val="21"/>
        </w:rPr>
      </w:pPr>
    </w:p>
    <w:p w14:paraId="602C5EDB" w14:textId="69813EB2" w:rsidR="008123FF" w:rsidRPr="00C613B2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"/>
        <w:ind w:right="746"/>
        <w:rPr>
          <w:rFonts w:ascii="Arial" w:hAnsi="Arial" w:cs="Arial"/>
          <w:sz w:val="24"/>
        </w:rPr>
      </w:pPr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د اوبو د </w:t>
      </w: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سیستم د خرابېدو له امله مرسته ترلاسه کړئ. </w:t>
      </w:r>
      <w:r w:rsidRPr="00C613B2">
        <w:rPr>
          <w:rFonts w:ascii="Arial" w:hAnsi="Arial" w:cs="Arial"/>
          <w:color w:val="1B1B1B"/>
          <w:sz w:val="24"/>
          <w:rtl/>
          <w:lang w:eastAsia="ps" w:bidi="ps-AF"/>
        </w:rPr>
        <w:t xml:space="preserve">د بېلګې په توګه د اوبو د خراب شوي سیستم د تبدیلولو لپاره یوه </w:t>
      </w:r>
      <w:hyperlink r:id="rId9"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جواز</w:t>
        </w:r>
        <w:proofErr w:type="spellEnd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 xml:space="preserve"> لرونکي </w:t>
        </w:r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څاه</w:t>
        </w:r>
        <w:proofErr w:type="spellEnd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 xml:space="preserve"> </w:t>
        </w:r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کیندونکي</w:t>
        </w:r>
        <w:proofErr w:type="spellEnd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 xml:space="preserve"> ته زنګ ووهئ</w:t>
        </w:r>
        <w:r w:rsidRPr="00C613B2">
          <w:rPr>
            <w:rFonts w:ascii="Arial" w:hAnsi="Arial" w:cs="Arial"/>
            <w:color w:val="0462C1"/>
            <w:sz w:val="24"/>
            <w:rtl/>
            <w:lang w:eastAsia="ps" w:bidi="ps-AF"/>
          </w:rPr>
          <w:t xml:space="preserve"> </w:t>
        </w:r>
      </w:hyperlink>
      <w:r w:rsidRPr="00C613B2">
        <w:rPr>
          <w:rFonts w:ascii="Arial" w:hAnsi="Arial" w:cs="Arial"/>
          <w:color w:val="1B1B1B"/>
          <w:sz w:val="24"/>
          <w:rtl/>
          <w:lang w:eastAsia="ps" w:bidi="ps-AF"/>
        </w:rPr>
        <w:t xml:space="preserve">یا د </w:t>
      </w:r>
      <w:hyperlink r:id="rId10" w:anchor="romap"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 xml:space="preserve">سیمې له </w:t>
        </w:r>
        <w:proofErr w:type="spellStart"/>
        <w:r w:rsidRPr="00C613B2">
          <w:rPr>
            <w:rFonts w:ascii="Arial" w:hAnsi="Arial" w:cs="Arial"/>
            <w:color w:val="0462C1"/>
            <w:sz w:val="24"/>
            <w:u w:val="single" w:color="0462C1"/>
            <w:rtl/>
            <w:lang w:eastAsia="ps" w:bidi="ps-AF"/>
          </w:rPr>
          <w:t>انجینیر</w:t>
        </w:r>
        <w:proofErr w:type="spellEnd"/>
        <w:r w:rsidRPr="00C613B2">
          <w:rPr>
            <w:rFonts w:ascii="Arial" w:hAnsi="Arial" w:cs="Arial"/>
            <w:color w:val="0462C1"/>
            <w:sz w:val="24"/>
            <w:rtl/>
            <w:lang w:eastAsia="ps" w:bidi="ps-AF"/>
          </w:rPr>
          <w:t xml:space="preserve"> </w:t>
        </w:r>
      </w:hyperlink>
      <w:r w:rsidRPr="00C613B2">
        <w:rPr>
          <w:rFonts w:ascii="Arial" w:hAnsi="Arial" w:cs="Arial"/>
          <w:color w:val="1B1B1B"/>
          <w:sz w:val="24"/>
          <w:rtl/>
          <w:lang w:eastAsia="ps" w:bidi="ps-AF"/>
        </w:rPr>
        <w:t xml:space="preserve">سره اړیکه ټینګه کړئ تر څو د اجازو او اجازو د </w:t>
      </w:r>
      <w:proofErr w:type="spellStart"/>
      <w:r w:rsidRPr="00C613B2">
        <w:rPr>
          <w:rFonts w:ascii="Arial" w:hAnsi="Arial" w:cs="Arial"/>
          <w:color w:val="1B1B1B"/>
          <w:sz w:val="24"/>
          <w:rtl/>
          <w:lang w:eastAsia="ps" w:bidi="ps-AF"/>
        </w:rPr>
        <w:t>معافیت</w:t>
      </w:r>
      <w:proofErr w:type="spellEnd"/>
      <w:r w:rsidRPr="00C613B2">
        <w:rPr>
          <w:rFonts w:ascii="Arial" w:hAnsi="Arial" w:cs="Arial"/>
          <w:color w:val="1B1B1B"/>
          <w:sz w:val="24"/>
          <w:rtl/>
          <w:lang w:eastAsia="ps" w:bidi="ps-AF"/>
        </w:rPr>
        <w:t xml:space="preserve"> په اړه معلومات ترلاسه کړئ.</w:t>
      </w:r>
    </w:p>
    <w:p w14:paraId="213FF1EB" w14:textId="77777777" w:rsidR="008123FF" w:rsidRPr="00C613B2" w:rsidRDefault="008123FF">
      <w:pPr>
        <w:pStyle w:val="BodyText"/>
        <w:bidi/>
        <w:spacing w:before="7"/>
        <w:rPr>
          <w:rFonts w:ascii="Arial" w:hAnsi="Arial" w:cs="Arial"/>
          <w:sz w:val="20"/>
        </w:rPr>
      </w:pPr>
    </w:p>
    <w:p w14:paraId="2D308F9A" w14:textId="77777777" w:rsidR="008123FF" w:rsidRPr="00C613B2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ind w:right="562"/>
        <w:rPr>
          <w:rFonts w:ascii="Arial" w:hAnsi="Arial" w:cs="Arial"/>
          <w:sz w:val="24"/>
        </w:rPr>
      </w:pPr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په یاد </w:t>
      </w:r>
      <w:proofErr w:type="spellStart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ولرئ</w:t>
      </w:r>
      <w:proofErr w:type="spellEnd"/>
      <w:r w:rsidRPr="00C613B2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. </w:t>
      </w:r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د سېلابونو پر مهال او تر هغې وروسته، د اوبو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خصوصي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سیستمونه (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څاه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ګانې، چینې او د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سطحې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اوبو اخیستنې) په داسې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مایکرو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ارګانیزمونو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کیمیاوي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توکو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ککړېدای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شي چې د شدیدو ناروغیو لامل کېدای شي. له سېلاب څخه وروسته اوبه کېدای شي تر هغې پورې د څښاک،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پخلي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او پاکولو لپاره خوندي نه وي ترڅو چې د یوه داسې لابراتوار له لوري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ټېست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شوې نه وي چې د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وېرمونټ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ادراې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له لوري </w:t>
      </w:r>
      <w:proofErr w:type="spellStart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>جواز</w:t>
      </w:r>
      <w:proofErr w:type="spellEnd"/>
      <w:r w:rsidRPr="00C613B2">
        <w:rPr>
          <w:rFonts w:ascii="Arial" w:hAnsi="Arial" w:cs="Arial"/>
          <w:color w:val="2F2F2F"/>
          <w:sz w:val="24"/>
          <w:rtl/>
          <w:lang w:eastAsia="ps" w:bidi="ps-AF"/>
        </w:rPr>
        <w:t xml:space="preserve"> ورکړل شوی وي او د هغوی له لارښوونو سره سم عمل وشي.</w:t>
      </w:r>
    </w:p>
    <w:p w14:paraId="3B01C882" w14:textId="77777777" w:rsidR="008123FF" w:rsidRPr="00C613B2" w:rsidRDefault="008123FF">
      <w:pPr>
        <w:pStyle w:val="BodyText"/>
        <w:bidi/>
        <w:rPr>
          <w:rFonts w:ascii="Arial" w:hAnsi="Arial" w:cs="Arial"/>
          <w:sz w:val="21"/>
        </w:rPr>
      </w:pPr>
    </w:p>
    <w:p w14:paraId="4E75FA98" w14:textId="77777777" w:rsidR="008123FF" w:rsidRPr="00C613B2" w:rsidRDefault="00000000">
      <w:pPr>
        <w:bidi/>
        <w:spacing w:before="1" w:line="206" w:lineRule="exact"/>
        <w:ind w:left="100"/>
        <w:rPr>
          <w:rFonts w:ascii="Arial" w:hAnsi="Arial" w:cs="Arial"/>
          <w:b/>
          <w:sz w:val="18"/>
        </w:rPr>
      </w:pPr>
      <w:r w:rsidRPr="00C613B2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د توپیر نه کولو خبرتیا:</w:t>
      </w:r>
    </w:p>
    <w:p w14:paraId="1F1B6B1E" w14:textId="4FF2A397" w:rsidR="008123FF" w:rsidRPr="00C613B2" w:rsidRDefault="00000000">
      <w:pPr>
        <w:bidi/>
        <w:ind w:left="100" w:right="637"/>
        <w:rPr>
          <w:rFonts w:ascii="Arial" w:hAnsi="Arial" w:cs="Arial"/>
          <w:sz w:val="18"/>
        </w:rPr>
      </w:pPr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د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ورمونټ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 د طبیعي سرچینو اداره </w:t>
      </w:r>
      <w:r w:rsidRPr="00C613B2">
        <w:rPr>
          <w:rFonts w:ascii="Arial" w:hAnsi="Arial" w:cs="Arial"/>
          <w:color w:val="2F2F2F"/>
          <w:sz w:val="12"/>
          <w:szCs w:val="18"/>
          <w:rtl/>
          <w:lang w:eastAsia="ps" w:bidi="ps-AF"/>
        </w:rPr>
        <w:t>[</w:t>
      </w:r>
      <w:r w:rsidRPr="00C613B2">
        <w:rPr>
          <w:rFonts w:ascii="Arial" w:hAnsi="Arial" w:cs="Arial"/>
          <w:color w:val="2F2F2F"/>
          <w:sz w:val="18"/>
          <w:lang w:eastAsia="ps" w:bidi="en-US"/>
        </w:rPr>
        <w:t>Vermont Agency of Natural Resource</w:t>
      </w:r>
      <w:r w:rsidR="00C22E0A" w:rsidRPr="00C613B2">
        <w:rPr>
          <w:rFonts w:ascii="Arial" w:hAnsi="Arial" w:cs="Arial"/>
          <w:color w:val="2F2F2F"/>
          <w:sz w:val="18"/>
          <w:lang w:eastAsia="ps" w:bidi="en-US"/>
        </w:rPr>
        <w:t>)</w:t>
      </w:r>
      <w:r w:rsidRPr="00C613B2">
        <w:rPr>
          <w:rFonts w:ascii="Arial" w:hAnsi="Arial" w:cs="Arial"/>
          <w:color w:val="2F2F2F"/>
          <w:sz w:val="18"/>
          <w:lang w:eastAsia="ps" w:bidi="en-US"/>
        </w:rPr>
        <w:t xml:space="preserve"> </w:t>
      </w:r>
      <w:r w:rsidR="00C22E0A" w:rsidRPr="00C613B2">
        <w:rPr>
          <w:rFonts w:ascii="Arial" w:hAnsi="Arial" w:cs="Arial"/>
          <w:color w:val="2F2F2F"/>
          <w:sz w:val="18"/>
          <w:lang w:eastAsia="ps" w:bidi="en-US"/>
        </w:rPr>
        <w:t>[</w:t>
      </w:r>
      <w:r w:rsidRPr="00C613B2">
        <w:rPr>
          <w:rFonts w:ascii="Arial" w:hAnsi="Arial" w:cs="Arial"/>
          <w:color w:val="2F2F2F"/>
          <w:sz w:val="18"/>
          <w:lang w:eastAsia="ps" w:bidi="en-US"/>
        </w:rPr>
        <w:t>ANR</w:t>
      </w:r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) خپل پروګرامونه، خدمتونه، او کړنې د توکم، مذهب، عقیدې، رنګ، ملي هویت (په ګډون د محدود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انګلیسي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 وړتیا)،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نسب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، د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زېږون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 ځای،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معیوبيت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 xml:space="preserve">، عمر، د واده حالت، جنس، جنسي څرنګوالي، جنسي </w:t>
      </w:r>
      <w:proofErr w:type="spellStart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پېژندګلو</w:t>
      </w:r>
      <w:proofErr w:type="spellEnd"/>
      <w:r w:rsidRPr="00C613B2">
        <w:rPr>
          <w:rFonts w:ascii="Arial" w:hAnsi="Arial" w:cs="Arial"/>
          <w:color w:val="2F2F2F"/>
          <w:sz w:val="18"/>
          <w:rtl/>
          <w:lang w:eastAsia="ps" w:bidi="ps-AF"/>
        </w:rPr>
        <w:t>، یا د سینې شیدې ورکولو (مور او ماشوم) پر اساس د توپیر کولو پرته ترسره کوي.</w:t>
      </w:r>
    </w:p>
    <w:p w14:paraId="79E925D4" w14:textId="77777777" w:rsidR="008123FF" w:rsidRPr="00C613B2" w:rsidRDefault="008123FF">
      <w:pPr>
        <w:pStyle w:val="BodyText"/>
        <w:bidi/>
        <w:rPr>
          <w:rFonts w:ascii="Arial" w:hAnsi="Arial" w:cs="Arial"/>
          <w:sz w:val="18"/>
        </w:rPr>
      </w:pPr>
    </w:p>
    <w:p w14:paraId="005D1E3F" w14:textId="77777777" w:rsidR="008123FF" w:rsidRPr="00C613B2" w:rsidRDefault="00000000">
      <w:pPr>
        <w:bidi/>
        <w:spacing w:before="1" w:line="206" w:lineRule="exact"/>
        <w:ind w:left="100"/>
        <w:rPr>
          <w:rFonts w:ascii="Arial" w:hAnsi="Arial" w:cs="Arial"/>
          <w:b/>
          <w:sz w:val="18"/>
        </w:rPr>
      </w:pPr>
      <w:r w:rsidRPr="00C613B2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ژبې ته د لاسرسي خبرتیا:</w:t>
      </w:r>
    </w:p>
    <w:p w14:paraId="5205305C" w14:textId="2DC4639E" w:rsidR="008123FF" w:rsidRPr="00C613B2" w:rsidRDefault="007261FB" w:rsidP="007261FB">
      <w:pPr>
        <w:bidi/>
        <w:spacing w:line="276" w:lineRule="auto"/>
        <w:ind w:left="100" w:right="637"/>
        <w:rPr>
          <w:rFonts w:ascii="Arial" w:hAnsi="Arial" w:cs="Arial"/>
          <w:sz w:val="20"/>
        </w:rPr>
      </w:pPr>
      <w:r w:rsidRPr="00C613B2">
        <w:rPr>
          <w:rFonts w:ascii="Arial" w:eastAsia="Myanmar Text" w:hAnsi="Arial" w:cs="Arial"/>
          <w:noProof/>
          <w:rtl/>
        </w:rPr>
        <w:drawing>
          <wp:inline distT="0" distB="0" distL="0" distR="0" wp14:anchorId="622E62F6" wp14:editId="28976AE9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3FF" w:rsidRPr="00C613B2" w:rsidSect="00E41AC0">
      <w:footerReference w:type="default" r:id="rId12"/>
      <w:type w:val="continuous"/>
      <w:pgSz w:w="12240" w:h="15840"/>
      <w:pgMar w:top="640" w:right="520" w:bottom="1702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353C" w14:textId="77777777" w:rsidR="00D13938" w:rsidRDefault="00D13938" w:rsidP="00E41AC0">
      <w:r>
        <w:separator/>
      </w:r>
    </w:p>
  </w:endnote>
  <w:endnote w:type="continuationSeparator" w:id="0">
    <w:p w14:paraId="6DC02FD8" w14:textId="77777777" w:rsidR="00D13938" w:rsidRDefault="00D13938" w:rsidP="00E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FF" w14:textId="039272A0" w:rsidR="00E41AC0" w:rsidRDefault="00E41AC0" w:rsidP="00E41AC0">
    <w:pPr>
      <w:pStyle w:val="BodyText"/>
      <w:tabs>
        <w:tab w:val="left" w:pos="4842"/>
      </w:tabs>
      <w:bidi/>
      <w:spacing w:before="92"/>
      <w:ind w:left="100"/>
    </w:pPr>
    <w:r w:rsidRPr="00E41AC0">
      <w:rPr>
        <w:noProof/>
        <w:rtl/>
        <w:lang w:eastAsia="ps" w:bidi="ps-AF"/>
      </w:rPr>
      <w:drawing>
        <wp:anchor distT="0" distB="0" distL="0" distR="0" simplePos="0" relativeHeight="251658752" behindDoc="0" locked="0" layoutInCell="1" allowOverlap="1" wp14:anchorId="6C1FEDF2" wp14:editId="2F172145">
          <wp:simplePos x="0" y="0"/>
          <wp:positionH relativeFrom="page">
            <wp:posOffset>615694</wp:posOffset>
          </wp:positionH>
          <wp:positionV relativeFrom="paragraph">
            <wp:posOffset>-58921</wp:posOffset>
          </wp:positionV>
          <wp:extent cx="2155189" cy="457200"/>
          <wp:effectExtent l="0" t="0" r="0" b="0"/>
          <wp:wrapNone/>
          <wp:docPr id="736511773" name="Picture 736511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41AC0">
      <w:rPr>
        <w:color w:val="2F2F2F"/>
        <w:rtl/>
        <w:lang w:eastAsia="ps" w:bidi="ps-AF"/>
      </w:rPr>
      <w:t>بیاکتل</w:t>
    </w:r>
    <w:proofErr w:type="spellEnd"/>
    <w:r w:rsidRPr="00E41AC0">
      <w:rPr>
        <w:color w:val="2F2F2F"/>
        <w:rtl/>
        <w:lang w:eastAsia="ps" w:bidi="ps-AF"/>
      </w:rPr>
      <w:t xml:space="preserve"> شوی: 7/15/2023</w:t>
    </w:r>
    <w:r w:rsidRPr="00E41AC0">
      <w:rPr>
        <w:color w:val="2F2F2F"/>
        <w:rtl/>
        <w:lang w:eastAsia="ps" w:bidi="ps-AF"/>
      </w:rPr>
      <w:tab/>
      <w:t>1 له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6BF4" w14:textId="77777777" w:rsidR="00D13938" w:rsidRDefault="00D13938" w:rsidP="00E41AC0">
      <w:r>
        <w:separator/>
      </w:r>
    </w:p>
  </w:footnote>
  <w:footnote w:type="continuationSeparator" w:id="0">
    <w:p w14:paraId="0A6A63F0" w14:textId="77777777" w:rsidR="00D13938" w:rsidRDefault="00D13938" w:rsidP="00E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0364"/>
    <w:multiLevelType w:val="hybridMultilevel"/>
    <w:tmpl w:val="63A04C68"/>
    <w:lvl w:ilvl="0" w:tplc="B4B64988">
      <w:numFmt w:val="bullet"/>
      <w:lvlText w:val="🞂"/>
      <w:lvlJc w:val="left"/>
      <w:pPr>
        <w:ind w:left="821" w:hanging="296"/>
      </w:pPr>
      <w:rPr>
        <w:rFonts w:ascii="Microsoft Sans Serif" w:eastAsia="Microsoft Sans Serif" w:hAnsi="Microsoft Sans Serif" w:cs="Microsoft Sans Serif" w:hint="default"/>
        <w:color w:val="2F2F2F"/>
        <w:w w:val="52"/>
        <w:sz w:val="20"/>
        <w:szCs w:val="20"/>
        <w:lang w:val="en-US" w:eastAsia="en-US" w:bidi="ar-SA"/>
      </w:rPr>
    </w:lvl>
    <w:lvl w:ilvl="1" w:tplc="63EA7E84">
      <w:numFmt w:val="bullet"/>
      <w:lvlText w:val="•"/>
      <w:lvlJc w:val="left"/>
      <w:pPr>
        <w:ind w:left="1812" w:hanging="296"/>
      </w:pPr>
      <w:rPr>
        <w:rFonts w:hint="default"/>
        <w:lang w:val="en-US" w:eastAsia="en-US" w:bidi="ar-SA"/>
      </w:rPr>
    </w:lvl>
    <w:lvl w:ilvl="2" w:tplc="32A8DB54">
      <w:numFmt w:val="bullet"/>
      <w:lvlText w:val="•"/>
      <w:lvlJc w:val="left"/>
      <w:pPr>
        <w:ind w:left="2804" w:hanging="296"/>
      </w:pPr>
      <w:rPr>
        <w:rFonts w:hint="default"/>
        <w:lang w:val="en-US" w:eastAsia="en-US" w:bidi="ar-SA"/>
      </w:rPr>
    </w:lvl>
    <w:lvl w:ilvl="3" w:tplc="D3864C2E">
      <w:numFmt w:val="bullet"/>
      <w:lvlText w:val="•"/>
      <w:lvlJc w:val="left"/>
      <w:pPr>
        <w:ind w:left="3796" w:hanging="296"/>
      </w:pPr>
      <w:rPr>
        <w:rFonts w:hint="default"/>
        <w:lang w:val="en-US" w:eastAsia="en-US" w:bidi="ar-SA"/>
      </w:rPr>
    </w:lvl>
    <w:lvl w:ilvl="4" w:tplc="D3D29FAE">
      <w:numFmt w:val="bullet"/>
      <w:lvlText w:val="•"/>
      <w:lvlJc w:val="left"/>
      <w:pPr>
        <w:ind w:left="4788" w:hanging="296"/>
      </w:pPr>
      <w:rPr>
        <w:rFonts w:hint="default"/>
        <w:lang w:val="en-US" w:eastAsia="en-US" w:bidi="ar-SA"/>
      </w:rPr>
    </w:lvl>
    <w:lvl w:ilvl="5" w:tplc="7B3E72FA">
      <w:numFmt w:val="bullet"/>
      <w:lvlText w:val="•"/>
      <w:lvlJc w:val="left"/>
      <w:pPr>
        <w:ind w:left="5780" w:hanging="296"/>
      </w:pPr>
      <w:rPr>
        <w:rFonts w:hint="default"/>
        <w:lang w:val="en-US" w:eastAsia="en-US" w:bidi="ar-SA"/>
      </w:rPr>
    </w:lvl>
    <w:lvl w:ilvl="6" w:tplc="42483A12">
      <w:numFmt w:val="bullet"/>
      <w:lvlText w:val="•"/>
      <w:lvlJc w:val="left"/>
      <w:pPr>
        <w:ind w:left="6772" w:hanging="296"/>
      </w:pPr>
      <w:rPr>
        <w:rFonts w:hint="default"/>
        <w:lang w:val="en-US" w:eastAsia="en-US" w:bidi="ar-SA"/>
      </w:rPr>
    </w:lvl>
    <w:lvl w:ilvl="7" w:tplc="232CAD12">
      <w:numFmt w:val="bullet"/>
      <w:lvlText w:val="•"/>
      <w:lvlJc w:val="left"/>
      <w:pPr>
        <w:ind w:left="7764" w:hanging="296"/>
      </w:pPr>
      <w:rPr>
        <w:rFonts w:hint="default"/>
        <w:lang w:val="en-US" w:eastAsia="en-US" w:bidi="ar-SA"/>
      </w:rPr>
    </w:lvl>
    <w:lvl w:ilvl="8" w:tplc="3E466C8E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ar-SA"/>
      </w:rPr>
    </w:lvl>
  </w:abstractNum>
  <w:num w:numId="1" w16cid:durableId="22518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3FF"/>
    <w:rsid w:val="002B653B"/>
    <w:rsid w:val="002E623E"/>
    <w:rsid w:val="0030252F"/>
    <w:rsid w:val="00427726"/>
    <w:rsid w:val="007261FB"/>
    <w:rsid w:val="007C24C2"/>
    <w:rsid w:val="008123FF"/>
    <w:rsid w:val="00AE6839"/>
    <w:rsid w:val="00B917C2"/>
    <w:rsid w:val="00BF5972"/>
    <w:rsid w:val="00C22E0A"/>
    <w:rsid w:val="00C24D4F"/>
    <w:rsid w:val="00C613B2"/>
    <w:rsid w:val="00D13938"/>
    <w:rsid w:val="00D24612"/>
    <w:rsid w:val="00DB5445"/>
    <w:rsid w:val="00DF1B97"/>
    <w:rsid w:val="00E4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C2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15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1" w:right="560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C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C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environment/drinking-water/after-flood-private-drinking-water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ec.vermont.gov/water/ww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.vermont.gov/sites/dec/files/dwgwp/DW/WellDrillersV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649A2F45-7092-4A47-B7D0-55856A71DCC1}"/>
</file>

<file path=customXml/itemProps2.xml><?xml version="1.0" encoding="utf-8"?>
<ds:datastoreItem xmlns:ds="http://schemas.openxmlformats.org/officeDocument/2006/customXml" ds:itemID="{3A16C29B-FEF9-46FB-BE2B-A31AA94DC13A}"/>
</file>

<file path=customXml/itemProps3.xml><?xml version="1.0" encoding="utf-8"?>
<ds:datastoreItem xmlns:ds="http://schemas.openxmlformats.org/officeDocument/2006/customXml" ds:itemID="{E9EFC481-00AC-4ABF-8EFB-8B7E59D23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2023-07-18T16:31:00Z</dcterms:created>
  <dcterms:modified xsi:type="dcterms:W3CDTF">2023-07-20T11:00:00Z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