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E6F8" w14:textId="77777777" w:rsidR="008123FF" w:rsidRPr="006A6129" w:rsidRDefault="00000000">
      <w:pPr>
        <w:pStyle w:val="BodyText"/>
        <w:spacing w:before="80" w:line="275" w:lineRule="exact"/>
        <w:ind w:left="700"/>
        <w:rPr>
          <w:sz w:val="22"/>
          <w:szCs w:val="22"/>
        </w:rPr>
      </w:pPr>
      <w:r w:rsidRPr="006A6129">
        <w:rPr>
          <w:noProof/>
          <w:sz w:val="22"/>
          <w:szCs w:val="22"/>
          <w:lang w:bidi="es-US"/>
        </w:rPr>
        <w:drawing>
          <wp:anchor distT="0" distB="0" distL="0" distR="0" simplePos="0" relativeHeight="251655168" behindDoc="0" locked="0" layoutInCell="1" allowOverlap="1" wp14:anchorId="7569E120" wp14:editId="79EE82D4">
            <wp:simplePos x="0" y="0"/>
            <wp:positionH relativeFrom="page">
              <wp:posOffset>685800</wp:posOffset>
            </wp:positionH>
            <wp:positionV relativeFrom="paragraph">
              <wp:posOffset>50505</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22" cy="365239"/>
                    </a:xfrm>
                    <a:prstGeom prst="rect">
                      <a:avLst/>
                    </a:prstGeom>
                  </pic:spPr>
                </pic:pic>
              </a:graphicData>
            </a:graphic>
          </wp:anchor>
        </w:drawing>
      </w:r>
      <w:r w:rsidRPr="006A6129">
        <w:rPr>
          <w:color w:val="2F2F2F"/>
          <w:sz w:val="22"/>
          <w:szCs w:val="22"/>
          <w:lang w:bidi="es-US"/>
        </w:rPr>
        <w:t>Estado de Vermont, Agencia de Recursos Naturales</w:t>
      </w:r>
    </w:p>
    <w:p w14:paraId="56207216" w14:textId="77777777" w:rsidR="008123FF" w:rsidRPr="006A6129" w:rsidRDefault="00000000">
      <w:pPr>
        <w:spacing w:line="275" w:lineRule="exact"/>
        <w:ind w:left="700"/>
        <w:rPr>
          <w:b/>
          <w:szCs w:val="20"/>
        </w:rPr>
      </w:pPr>
      <w:r w:rsidRPr="006A6129">
        <w:rPr>
          <w:b/>
          <w:color w:val="2F2F2F"/>
          <w:szCs w:val="20"/>
          <w:lang w:bidi="es-US"/>
        </w:rPr>
        <w:t>Recursos para la recuperación tras una inundación</w:t>
      </w:r>
    </w:p>
    <w:p w14:paraId="35C5A676" w14:textId="77777777" w:rsidR="008123FF" w:rsidRPr="006A6129" w:rsidRDefault="00000000">
      <w:pPr>
        <w:pStyle w:val="BodyText"/>
        <w:spacing w:before="10"/>
        <w:rPr>
          <w:b/>
          <w:sz w:val="18"/>
          <w:szCs w:val="22"/>
        </w:rPr>
      </w:pPr>
      <w:r w:rsidRPr="006A6129">
        <w:rPr>
          <w:sz w:val="22"/>
          <w:szCs w:val="22"/>
          <w:lang w:bidi="es-US"/>
        </w:rPr>
        <w:pict w14:anchorId="4E1E091C">
          <v:shape id="_x0000_s2050" style="position:absolute;margin-left:54.05pt;margin-top:14pt;width:504.25pt;height:.5pt;z-index:-251658240;mso-wrap-distance-left:0;mso-wrap-distance-right:0;mso-position-horizontal-relative:page" coordorigin="1081,280" coordsize="10085,10" o:spt="100" adj="0,,0" path="m11160,280r-10074,l1081,280r,5l1081,290r5,l11160,290r,-5l11160,280xm11165,280r-5,l11160,285r,5l11165,290r,-5l11165,280xe" fillcolor="#9f9f9f" stroked="f">
            <v:stroke joinstyle="round"/>
            <v:formulas/>
            <v:path arrowok="t" o:connecttype="segments"/>
            <w10:wrap type="topAndBottom" anchorx="page"/>
          </v:shape>
        </w:pict>
      </w:r>
    </w:p>
    <w:p w14:paraId="7A8FC8FE" w14:textId="625B1F66" w:rsidR="008123FF" w:rsidRPr="006A6129" w:rsidRDefault="008123FF">
      <w:pPr>
        <w:pStyle w:val="BodyText"/>
        <w:spacing w:before="9"/>
        <w:rPr>
          <w:b/>
          <w:sz w:val="12"/>
          <w:szCs w:val="22"/>
        </w:rPr>
      </w:pPr>
    </w:p>
    <w:p w14:paraId="791EA717" w14:textId="77777777" w:rsidR="008123FF" w:rsidRPr="006A6129" w:rsidRDefault="00000000" w:rsidP="006A6129">
      <w:pPr>
        <w:pStyle w:val="Title"/>
        <w:ind w:left="0"/>
        <w:jc w:val="center"/>
        <w:rPr>
          <w:sz w:val="46"/>
          <w:szCs w:val="46"/>
        </w:rPr>
      </w:pPr>
      <w:bookmarkStart w:id="0" w:name="Private_Drinking_Water_System_Guidance"/>
      <w:bookmarkEnd w:id="0"/>
      <w:r w:rsidRPr="006A6129">
        <w:rPr>
          <w:color w:val="2F2F2F"/>
          <w:sz w:val="46"/>
          <w:szCs w:val="46"/>
          <w:lang w:bidi="es-US"/>
        </w:rPr>
        <w:t>Guía sobre los sistemas privados de agua potable</w:t>
      </w:r>
    </w:p>
    <w:p w14:paraId="27FD1013" w14:textId="3A947329" w:rsidR="008123FF" w:rsidRPr="006A6129" w:rsidRDefault="00000000">
      <w:pPr>
        <w:pStyle w:val="Heading1"/>
        <w:spacing w:before="253"/>
        <w:rPr>
          <w:rFonts w:ascii="Arial MT" w:hAnsi="Arial MT"/>
          <w:sz w:val="26"/>
          <w:szCs w:val="24"/>
        </w:rPr>
      </w:pPr>
      <w:bookmarkStart w:id="1" w:name="How_do_I_know_if_my_water_is_a_private_d"/>
      <w:bookmarkEnd w:id="1"/>
      <w:r w:rsidRPr="006A6129">
        <w:rPr>
          <w:color w:val="007940"/>
          <w:sz w:val="24"/>
          <w:szCs w:val="24"/>
          <w:lang w:bidi="es-US"/>
        </w:rPr>
        <w:t>¿Cómo sé si mi agua proviene de un sistema privado de agua potable?</w:t>
      </w:r>
    </w:p>
    <w:p w14:paraId="325E5FFA" w14:textId="1DEB00D6" w:rsidR="008123FF" w:rsidRPr="006A6129" w:rsidRDefault="00000000">
      <w:pPr>
        <w:pStyle w:val="BodyText"/>
        <w:spacing w:before="115"/>
        <w:ind w:left="100" w:right="637"/>
        <w:rPr>
          <w:sz w:val="22"/>
          <w:szCs w:val="22"/>
        </w:rPr>
      </w:pPr>
      <w:r w:rsidRPr="006A6129">
        <w:rPr>
          <w:color w:val="2F2F2F"/>
          <w:sz w:val="22"/>
          <w:szCs w:val="22"/>
          <w:lang w:bidi="es-US"/>
        </w:rPr>
        <w:t>En general, su sistema de abastecimiento de agua se considera privado si tiene su propio pozo, manantial o toma de agua superficial, o si lo comparte con algunas casas. Si recibe agua de una red pública, es probable que usted o su arrendador paguen una factura de agua. En algunos casos, con asociaciones más pequeñas, no suele ser así.</w:t>
      </w:r>
    </w:p>
    <w:p w14:paraId="6994C0B3" w14:textId="68298681" w:rsidR="008123FF" w:rsidRPr="006A6129" w:rsidRDefault="008123FF">
      <w:pPr>
        <w:pStyle w:val="BodyText"/>
        <w:spacing w:before="3"/>
        <w:rPr>
          <w:sz w:val="19"/>
          <w:szCs w:val="22"/>
        </w:rPr>
      </w:pPr>
    </w:p>
    <w:p w14:paraId="0AB18CCA" w14:textId="4CDF147A" w:rsidR="008123FF" w:rsidRPr="006A6129" w:rsidRDefault="00000000">
      <w:pPr>
        <w:pStyle w:val="Heading1"/>
        <w:rPr>
          <w:rFonts w:ascii="Arial MT" w:hAnsi="Arial MT"/>
          <w:sz w:val="26"/>
          <w:szCs w:val="24"/>
        </w:rPr>
      </w:pPr>
      <w:bookmarkStart w:id="2" w:name="What_do_I_do_if_my_private_water_source_"/>
      <w:bookmarkEnd w:id="2"/>
      <w:r w:rsidRPr="006A6129">
        <w:rPr>
          <w:color w:val="007940"/>
          <w:sz w:val="24"/>
          <w:szCs w:val="24"/>
          <w:lang w:bidi="es-US"/>
        </w:rPr>
        <w:t>¿Qué hago si mi fuente privada de agua se ha visto afectada por las inundaciones?</w:t>
      </w:r>
    </w:p>
    <w:p w14:paraId="5872DB3A" w14:textId="3F3014DC" w:rsidR="008123FF" w:rsidRPr="006A6129" w:rsidRDefault="00000000">
      <w:pPr>
        <w:pStyle w:val="ListParagraph"/>
        <w:numPr>
          <w:ilvl w:val="0"/>
          <w:numId w:val="1"/>
        </w:numPr>
        <w:tabs>
          <w:tab w:val="left" w:pos="821"/>
        </w:tabs>
        <w:spacing w:before="115"/>
        <w:ind w:right="661"/>
        <w:rPr>
          <w:szCs w:val="20"/>
        </w:rPr>
      </w:pPr>
      <w:r w:rsidRPr="006A6129">
        <w:rPr>
          <w:b/>
          <w:color w:val="2F2F2F"/>
          <w:szCs w:val="20"/>
          <w:lang w:bidi="es-US"/>
        </w:rPr>
        <w:t xml:space="preserve">Asuma que su agua está contaminada. </w:t>
      </w:r>
      <w:r w:rsidRPr="006A6129">
        <w:rPr>
          <w:color w:val="2F2F2F"/>
          <w:szCs w:val="20"/>
          <w:lang w:bidi="es-US"/>
        </w:rPr>
        <w:t>Si dispone de un pozo o manantial privado y las aguas de inundación han llegado a su pozo o manantial, asuma que su agua está contaminada. No utilice el agua de su pozo o manantial hasta que sea analizada y los resultados indiquen que el agua está libre de contaminación.</w:t>
      </w:r>
    </w:p>
    <w:p w14:paraId="4951229A" w14:textId="5BB49BC8" w:rsidR="008123FF" w:rsidRPr="006A6129" w:rsidRDefault="008123FF">
      <w:pPr>
        <w:pStyle w:val="BodyText"/>
        <w:rPr>
          <w:sz w:val="19"/>
          <w:szCs w:val="22"/>
        </w:rPr>
      </w:pPr>
    </w:p>
    <w:p w14:paraId="48A94250" w14:textId="77777777" w:rsidR="008123FF" w:rsidRPr="006A6129" w:rsidRDefault="00000000">
      <w:pPr>
        <w:pStyle w:val="ListParagraph"/>
        <w:numPr>
          <w:ilvl w:val="0"/>
          <w:numId w:val="1"/>
        </w:numPr>
        <w:tabs>
          <w:tab w:val="left" w:pos="821"/>
        </w:tabs>
        <w:ind w:right="956"/>
        <w:rPr>
          <w:szCs w:val="20"/>
        </w:rPr>
      </w:pPr>
      <w:r w:rsidRPr="006A6129">
        <w:rPr>
          <w:b/>
          <w:color w:val="2F2F2F"/>
          <w:szCs w:val="20"/>
          <w:lang w:bidi="es-US"/>
        </w:rPr>
        <w:t xml:space="preserve">Obtenga un análisis gratuito. </w:t>
      </w:r>
      <w:r w:rsidRPr="006A6129">
        <w:rPr>
          <w:color w:val="2F2F2F"/>
          <w:szCs w:val="20"/>
          <w:lang w:bidi="es-US"/>
        </w:rPr>
        <w:t xml:space="preserve">Los propietarios de pozos privados y manantiales, cuyos sistemas de abastecimiento de agua se hayan visto afectados por las inundaciones, tendrán a disposición análisis gratuitos. Llame al 802-338-4724 para solicitar un análisis gratuito del agua potable para detectar contaminantes habitualmente causados por las inundaciones. Obtenga más información del </w:t>
      </w:r>
      <w:hyperlink r:id="rId8">
        <w:r w:rsidRPr="006A6129">
          <w:rPr>
            <w:color w:val="0462C1"/>
            <w:szCs w:val="20"/>
            <w:u w:val="single" w:color="0462C1"/>
            <w:lang w:bidi="es-US"/>
          </w:rPr>
          <w:t>Departamento de Salud de Vermont</w:t>
        </w:r>
      </w:hyperlink>
      <w:r w:rsidRPr="006A6129">
        <w:rPr>
          <w:color w:val="2F2F2F"/>
          <w:szCs w:val="20"/>
          <w:lang w:bidi="es-US"/>
        </w:rPr>
        <w:t>.</w:t>
      </w:r>
    </w:p>
    <w:p w14:paraId="2061E522" w14:textId="77777777" w:rsidR="008123FF" w:rsidRPr="006A6129" w:rsidRDefault="008123FF">
      <w:pPr>
        <w:pStyle w:val="BodyText"/>
        <w:rPr>
          <w:sz w:val="19"/>
          <w:szCs w:val="22"/>
        </w:rPr>
      </w:pPr>
    </w:p>
    <w:p w14:paraId="66A01CAB" w14:textId="0BB18A63" w:rsidR="008123FF" w:rsidRPr="006A6129" w:rsidRDefault="00000000">
      <w:pPr>
        <w:pStyle w:val="ListParagraph"/>
        <w:numPr>
          <w:ilvl w:val="0"/>
          <w:numId w:val="1"/>
        </w:numPr>
        <w:tabs>
          <w:tab w:val="left" w:pos="821"/>
        </w:tabs>
        <w:rPr>
          <w:szCs w:val="20"/>
        </w:rPr>
      </w:pPr>
      <w:r w:rsidRPr="006A6129">
        <w:rPr>
          <w:b/>
          <w:color w:val="2F2F2F"/>
          <w:szCs w:val="20"/>
          <w:lang w:bidi="es-US"/>
        </w:rPr>
        <w:t xml:space="preserve">Obtenga agua de una fuente segura conocida. </w:t>
      </w:r>
      <w:r w:rsidRPr="006A6129">
        <w:rPr>
          <w:color w:val="2F2F2F"/>
          <w:szCs w:val="20"/>
          <w:lang w:bidi="es-US"/>
        </w:rPr>
        <w:t>Utilice el agua de un edificio público abastecido por agua del municipio o de la ciudad que no esté bajo aviso de hervir el agua, o de amigos o familiares que no se hayan visto afectados por la inundación. Utilice agua embotellada hasta que su agua sea analizada. O llame a la oficina de su municipio o comuníquese con Vermont 211 para obtener ayuda.</w:t>
      </w:r>
    </w:p>
    <w:p w14:paraId="2778CBBA" w14:textId="49DCF460" w:rsidR="008123FF" w:rsidRPr="006A6129" w:rsidRDefault="008123FF">
      <w:pPr>
        <w:pStyle w:val="BodyText"/>
        <w:rPr>
          <w:sz w:val="19"/>
          <w:szCs w:val="22"/>
        </w:rPr>
      </w:pPr>
    </w:p>
    <w:p w14:paraId="602C5EDB" w14:textId="77777777" w:rsidR="008123FF" w:rsidRPr="006A6129" w:rsidRDefault="00000000">
      <w:pPr>
        <w:pStyle w:val="ListParagraph"/>
        <w:numPr>
          <w:ilvl w:val="0"/>
          <w:numId w:val="1"/>
        </w:numPr>
        <w:tabs>
          <w:tab w:val="left" w:pos="821"/>
        </w:tabs>
        <w:spacing w:before="1"/>
        <w:ind w:right="746"/>
        <w:rPr>
          <w:szCs w:val="20"/>
        </w:rPr>
      </w:pPr>
      <w:r w:rsidRPr="006A6129">
        <w:rPr>
          <w:b/>
          <w:color w:val="2F2F2F"/>
          <w:szCs w:val="20"/>
          <w:lang w:bidi="es-US"/>
        </w:rPr>
        <w:t xml:space="preserve">Obtenga ayuda con un sistema de agua privado averiado. </w:t>
      </w:r>
      <w:r w:rsidRPr="006A6129">
        <w:rPr>
          <w:color w:val="1B1B1B"/>
          <w:szCs w:val="20"/>
          <w:lang w:bidi="es-US"/>
        </w:rPr>
        <w:t xml:space="preserve">Si necesita ayuda para sustituir un sistema de agua averiado, llame a un </w:t>
      </w:r>
      <w:hyperlink r:id="rId9">
        <w:r w:rsidRPr="006A6129">
          <w:rPr>
            <w:color w:val="0462C1"/>
            <w:szCs w:val="20"/>
            <w:u w:val="single" w:color="0462C1"/>
            <w:lang w:bidi="es-US"/>
          </w:rPr>
          <w:t>perforador de pozos certificado</w:t>
        </w:r>
        <w:r w:rsidRPr="006A6129">
          <w:rPr>
            <w:color w:val="0462C1"/>
            <w:szCs w:val="20"/>
            <w:lang w:bidi="es-US"/>
          </w:rPr>
          <w:t xml:space="preserve"> </w:t>
        </w:r>
      </w:hyperlink>
      <w:r w:rsidRPr="006A6129">
        <w:rPr>
          <w:color w:val="1B1B1B"/>
          <w:szCs w:val="20"/>
          <w:lang w:bidi="es-US"/>
        </w:rPr>
        <w:t xml:space="preserve">o a su </w:t>
      </w:r>
      <w:hyperlink r:id="rId10" w:anchor="romap">
        <w:r w:rsidRPr="006A6129">
          <w:rPr>
            <w:color w:val="0462C1"/>
            <w:szCs w:val="20"/>
            <w:u w:val="single" w:color="0462C1"/>
            <w:lang w:bidi="es-US"/>
          </w:rPr>
          <w:t>ingeniero regional</w:t>
        </w:r>
        <w:r w:rsidRPr="006A6129">
          <w:rPr>
            <w:color w:val="0462C1"/>
            <w:szCs w:val="20"/>
            <w:lang w:bidi="es-US"/>
          </w:rPr>
          <w:t xml:space="preserve"> </w:t>
        </w:r>
      </w:hyperlink>
      <w:r w:rsidRPr="006A6129">
        <w:rPr>
          <w:color w:val="1B1B1B"/>
          <w:szCs w:val="20"/>
          <w:lang w:bidi="es-US"/>
        </w:rPr>
        <w:t>para obtener información sobre permisos y exenciones de permisos.</w:t>
      </w:r>
    </w:p>
    <w:p w14:paraId="213FF1EB" w14:textId="1DD67621" w:rsidR="008123FF" w:rsidRPr="006A6129" w:rsidRDefault="008123FF">
      <w:pPr>
        <w:pStyle w:val="BodyText"/>
        <w:spacing w:before="7"/>
        <w:rPr>
          <w:sz w:val="18"/>
          <w:szCs w:val="22"/>
        </w:rPr>
      </w:pPr>
    </w:p>
    <w:p w14:paraId="2D308F9A" w14:textId="6867F0E2" w:rsidR="008123FF" w:rsidRPr="006A6129" w:rsidRDefault="00000000">
      <w:pPr>
        <w:pStyle w:val="ListParagraph"/>
        <w:numPr>
          <w:ilvl w:val="0"/>
          <w:numId w:val="1"/>
        </w:numPr>
        <w:tabs>
          <w:tab w:val="left" w:pos="821"/>
        </w:tabs>
        <w:ind w:right="562"/>
        <w:rPr>
          <w:szCs w:val="20"/>
        </w:rPr>
      </w:pPr>
      <w:r w:rsidRPr="006A6129">
        <w:rPr>
          <w:b/>
          <w:color w:val="2F2F2F"/>
          <w:szCs w:val="20"/>
          <w:lang w:bidi="es-US"/>
        </w:rPr>
        <w:t xml:space="preserve">Recuerde: </w:t>
      </w:r>
      <w:r w:rsidRPr="006A6129">
        <w:rPr>
          <w:color w:val="2F2F2F"/>
          <w:szCs w:val="20"/>
          <w:lang w:bidi="es-US"/>
        </w:rPr>
        <w:t>Durante y después de las inundaciones, los sistemas privados de agua (pozos, manantiales y tomas de aguas superficiales) pueden contaminarse con microorganismos y sustancias químicas que pueden causar enfermedades graves. El agua puede no ser segura para beber, cocinar o limpiar después de una inundación hasta que haya sido analizada por un laboratorio certificado de Vermont y tratada en consecuencia.</w:t>
      </w:r>
    </w:p>
    <w:p w14:paraId="3B01C882" w14:textId="182724D7" w:rsidR="008123FF" w:rsidRPr="006A6129" w:rsidRDefault="008123FF">
      <w:pPr>
        <w:pStyle w:val="BodyText"/>
        <w:rPr>
          <w:sz w:val="19"/>
          <w:szCs w:val="22"/>
        </w:rPr>
      </w:pPr>
    </w:p>
    <w:p w14:paraId="4E75FA98" w14:textId="474533D1" w:rsidR="008123FF" w:rsidRPr="006A6129" w:rsidRDefault="00000000">
      <w:pPr>
        <w:spacing w:before="1" w:line="206" w:lineRule="exact"/>
        <w:ind w:left="100"/>
        <w:rPr>
          <w:b/>
          <w:sz w:val="16"/>
          <w:szCs w:val="20"/>
        </w:rPr>
      </w:pPr>
      <w:r w:rsidRPr="006A6129">
        <w:rPr>
          <w:b/>
          <w:color w:val="2F2F2F"/>
          <w:sz w:val="16"/>
          <w:szCs w:val="20"/>
          <w:lang w:bidi="es-US"/>
        </w:rPr>
        <w:t>Aviso de no discriminación:</w:t>
      </w:r>
    </w:p>
    <w:p w14:paraId="1F1B6B1E" w14:textId="4A852099" w:rsidR="008123FF" w:rsidRPr="006A6129" w:rsidRDefault="00000000">
      <w:pPr>
        <w:ind w:left="100" w:right="637"/>
        <w:rPr>
          <w:sz w:val="16"/>
          <w:szCs w:val="20"/>
        </w:rPr>
      </w:pPr>
      <w:r w:rsidRPr="006A6129">
        <w:rPr>
          <w:color w:val="2F2F2F"/>
          <w:sz w:val="16"/>
          <w:szCs w:val="20"/>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79E925D4" w14:textId="64733D05" w:rsidR="008123FF" w:rsidRPr="006A6129" w:rsidRDefault="008123FF">
      <w:pPr>
        <w:pStyle w:val="BodyText"/>
        <w:rPr>
          <w:sz w:val="16"/>
          <w:szCs w:val="22"/>
        </w:rPr>
      </w:pPr>
    </w:p>
    <w:p w14:paraId="005D1E3F" w14:textId="44E1A5A7" w:rsidR="008123FF" w:rsidRPr="006A6129" w:rsidRDefault="006A6129">
      <w:pPr>
        <w:spacing w:before="1" w:line="206" w:lineRule="exact"/>
        <w:ind w:left="100"/>
        <w:rPr>
          <w:b/>
          <w:sz w:val="16"/>
          <w:szCs w:val="20"/>
        </w:rPr>
      </w:pPr>
      <w:r w:rsidRPr="006A6129">
        <w:rPr>
          <w:noProof/>
          <w:sz w:val="20"/>
          <w:szCs w:val="20"/>
        </w:rPr>
        <w:drawing>
          <wp:anchor distT="0" distB="0" distL="114300" distR="114300" simplePos="0" relativeHeight="251660288" behindDoc="1" locked="0" layoutInCell="1" allowOverlap="1" wp14:anchorId="3D004635" wp14:editId="06513091">
            <wp:simplePos x="0" y="0"/>
            <wp:positionH relativeFrom="column">
              <wp:posOffset>37427</wp:posOffset>
            </wp:positionH>
            <wp:positionV relativeFrom="paragraph">
              <wp:posOffset>129100</wp:posOffset>
            </wp:positionV>
            <wp:extent cx="6070600" cy="1234440"/>
            <wp:effectExtent l="0" t="0" r="6350" b="381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anchor>
        </w:drawing>
      </w:r>
      <w:r w:rsidR="00000000" w:rsidRPr="006A6129">
        <w:rPr>
          <w:b/>
          <w:color w:val="2F2F2F"/>
          <w:sz w:val="16"/>
          <w:szCs w:val="20"/>
          <w:lang w:bidi="es-US"/>
        </w:rPr>
        <w:t>Aviso de acceso servicios lingüísticos:</w:t>
      </w:r>
    </w:p>
    <w:p w14:paraId="5205305C" w14:textId="003C4A8A" w:rsidR="008123FF" w:rsidRPr="006A6129" w:rsidRDefault="008123FF" w:rsidP="006A6129">
      <w:pPr>
        <w:spacing w:line="276" w:lineRule="auto"/>
        <w:ind w:left="100" w:right="637"/>
        <w:rPr>
          <w:sz w:val="18"/>
          <w:szCs w:val="20"/>
        </w:rPr>
      </w:pPr>
    </w:p>
    <w:sectPr w:rsidR="008123FF" w:rsidRPr="006A6129" w:rsidSect="00E41AC0">
      <w:footerReference w:type="default" r:id="rId12"/>
      <w:type w:val="continuous"/>
      <w:pgSz w:w="12240" w:h="15840"/>
      <w:pgMar w:top="640" w:right="520" w:bottom="1702"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7CA1" w14:textId="77777777" w:rsidR="001B61B6" w:rsidRDefault="001B61B6" w:rsidP="00E41AC0">
      <w:r>
        <w:separator/>
      </w:r>
    </w:p>
  </w:endnote>
  <w:endnote w:type="continuationSeparator" w:id="0">
    <w:p w14:paraId="37BAC3D3" w14:textId="77777777" w:rsidR="001B61B6" w:rsidRDefault="001B61B6" w:rsidP="00E4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CFF" w14:textId="039272A0" w:rsidR="00E41AC0" w:rsidRDefault="00E41AC0" w:rsidP="00E41AC0">
    <w:pPr>
      <w:pStyle w:val="BodyText"/>
      <w:tabs>
        <w:tab w:val="left" w:pos="4842"/>
      </w:tabs>
      <w:spacing w:before="92"/>
      <w:ind w:left="100"/>
    </w:pPr>
    <w:r w:rsidRPr="00E41AC0">
      <w:rPr>
        <w:noProof/>
        <w:lang w:bidi="es-US"/>
      </w:rPr>
      <w:drawing>
        <wp:anchor distT="0" distB="0" distL="0" distR="0" simplePos="0" relativeHeight="251658752" behindDoc="0" locked="0" layoutInCell="1" allowOverlap="1" wp14:anchorId="6C1FEDF2" wp14:editId="1FF846A4">
          <wp:simplePos x="0" y="0"/>
          <wp:positionH relativeFrom="page">
            <wp:posOffset>5212079</wp:posOffset>
          </wp:positionH>
          <wp:positionV relativeFrom="paragraph">
            <wp:posOffset>-59590</wp:posOffset>
          </wp:positionV>
          <wp:extent cx="2155189" cy="457200"/>
          <wp:effectExtent l="0" t="0" r="0" b="0"/>
          <wp:wrapNone/>
          <wp:docPr id="736511773" name="Picture 73651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sidRPr="00E41AC0">
      <w:rPr>
        <w:color w:val="2F2F2F"/>
        <w:lang w:bidi="es-US"/>
      </w:rPr>
      <w:t>Actualizado: 15/7/2023</w:t>
    </w:r>
    <w:r w:rsidRPr="00E41AC0">
      <w:rPr>
        <w:color w:val="2F2F2F"/>
        <w:lang w:bidi="es-US"/>
      </w:rPr>
      <w:tab/>
      <w:t>1 de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145D" w14:textId="77777777" w:rsidR="001B61B6" w:rsidRDefault="001B61B6" w:rsidP="00E41AC0">
      <w:r>
        <w:separator/>
      </w:r>
    </w:p>
  </w:footnote>
  <w:footnote w:type="continuationSeparator" w:id="0">
    <w:p w14:paraId="6E16DDFF" w14:textId="77777777" w:rsidR="001B61B6" w:rsidRDefault="001B61B6" w:rsidP="00E4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30364"/>
    <w:multiLevelType w:val="hybridMultilevel"/>
    <w:tmpl w:val="63A04C68"/>
    <w:lvl w:ilvl="0" w:tplc="B4B64988">
      <w:numFmt w:val="bullet"/>
      <w:lvlText w:val="🞂"/>
      <w:lvlJc w:val="left"/>
      <w:pPr>
        <w:ind w:left="821" w:hanging="296"/>
      </w:pPr>
      <w:rPr>
        <w:rFonts w:ascii="Microsoft Sans Serif" w:eastAsia="Microsoft Sans Serif" w:hAnsi="Microsoft Sans Serif" w:cs="Microsoft Sans Serif" w:hint="default"/>
        <w:color w:val="2F2F2F"/>
        <w:w w:val="52"/>
        <w:sz w:val="20"/>
        <w:szCs w:val="20"/>
        <w:lang w:val="en-US" w:eastAsia="en-US" w:bidi="ar-SA"/>
      </w:rPr>
    </w:lvl>
    <w:lvl w:ilvl="1" w:tplc="63EA7E84">
      <w:numFmt w:val="bullet"/>
      <w:lvlText w:val="•"/>
      <w:lvlJc w:val="left"/>
      <w:pPr>
        <w:ind w:left="1812" w:hanging="296"/>
      </w:pPr>
      <w:rPr>
        <w:rFonts w:hint="default"/>
        <w:lang w:val="en-US" w:eastAsia="en-US" w:bidi="ar-SA"/>
      </w:rPr>
    </w:lvl>
    <w:lvl w:ilvl="2" w:tplc="32A8DB54">
      <w:numFmt w:val="bullet"/>
      <w:lvlText w:val="•"/>
      <w:lvlJc w:val="left"/>
      <w:pPr>
        <w:ind w:left="2804" w:hanging="296"/>
      </w:pPr>
      <w:rPr>
        <w:rFonts w:hint="default"/>
        <w:lang w:val="en-US" w:eastAsia="en-US" w:bidi="ar-SA"/>
      </w:rPr>
    </w:lvl>
    <w:lvl w:ilvl="3" w:tplc="D3864C2E">
      <w:numFmt w:val="bullet"/>
      <w:lvlText w:val="•"/>
      <w:lvlJc w:val="left"/>
      <w:pPr>
        <w:ind w:left="3796" w:hanging="296"/>
      </w:pPr>
      <w:rPr>
        <w:rFonts w:hint="default"/>
        <w:lang w:val="en-US" w:eastAsia="en-US" w:bidi="ar-SA"/>
      </w:rPr>
    </w:lvl>
    <w:lvl w:ilvl="4" w:tplc="D3D29FAE">
      <w:numFmt w:val="bullet"/>
      <w:lvlText w:val="•"/>
      <w:lvlJc w:val="left"/>
      <w:pPr>
        <w:ind w:left="4788" w:hanging="296"/>
      </w:pPr>
      <w:rPr>
        <w:rFonts w:hint="default"/>
        <w:lang w:val="en-US" w:eastAsia="en-US" w:bidi="ar-SA"/>
      </w:rPr>
    </w:lvl>
    <w:lvl w:ilvl="5" w:tplc="7B3E72FA">
      <w:numFmt w:val="bullet"/>
      <w:lvlText w:val="•"/>
      <w:lvlJc w:val="left"/>
      <w:pPr>
        <w:ind w:left="5780" w:hanging="296"/>
      </w:pPr>
      <w:rPr>
        <w:rFonts w:hint="default"/>
        <w:lang w:val="en-US" w:eastAsia="en-US" w:bidi="ar-SA"/>
      </w:rPr>
    </w:lvl>
    <w:lvl w:ilvl="6" w:tplc="42483A12">
      <w:numFmt w:val="bullet"/>
      <w:lvlText w:val="•"/>
      <w:lvlJc w:val="left"/>
      <w:pPr>
        <w:ind w:left="6772" w:hanging="296"/>
      </w:pPr>
      <w:rPr>
        <w:rFonts w:hint="default"/>
        <w:lang w:val="en-US" w:eastAsia="en-US" w:bidi="ar-SA"/>
      </w:rPr>
    </w:lvl>
    <w:lvl w:ilvl="7" w:tplc="232CAD12">
      <w:numFmt w:val="bullet"/>
      <w:lvlText w:val="•"/>
      <w:lvlJc w:val="left"/>
      <w:pPr>
        <w:ind w:left="7764" w:hanging="296"/>
      </w:pPr>
      <w:rPr>
        <w:rFonts w:hint="default"/>
        <w:lang w:val="en-US" w:eastAsia="en-US" w:bidi="ar-SA"/>
      </w:rPr>
    </w:lvl>
    <w:lvl w:ilvl="8" w:tplc="3E466C8E">
      <w:numFmt w:val="bullet"/>
      <w:lvlText w:val="•"/>
      <w:lvlJc w:val="left"/>
      <w:pPr>
        <w:ind w:left="8756" w:hanging="296"/>
      </w:pPr>
      <w:rPr>
        <w:rFonts w:hint="default"/>
        <w:lang w:val="en-US" w:eastAsia="en-US" w:bidi="ar-SA"/>
      </w:rPr>
    </w:lvl>
  </w:abstractNum>
  <w:num w:numId="1" w16cid:durableId="22518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23FF"/>
    <w:rsid w:val="001B61B6"/>
    <w:rsid w:val="006A6129"/>
    <w:rsid w:val="008123FF"/>
    <w:rsid w:val="00AE6839"/>
    <w:rsid w:val="00D24612"/>
    <w:rsid w:val="00E41AC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
  <w:listSeparator w:val=";"/>
  <w14:docId w14:val="29C2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15"/>
    </w:pPr>
    <w:rPr>
      <w:sz w:val="52"/>
      <w:szCs w:val="52"/>
    </w:rPr>
  </w:style>
  <w:style w:type="paragraph" w:styleId="ListParagraph">
    <w:name w:val="List Paragraph"/>
    <w:basedOn w:val="Normal"/>
    <w:uiPriority w:val="1"/>
    <w:qFormat/>
    <w:pPr>
      <w:ind w:left="821" w:right="560"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1AC0"/>
    <w:pPr>
      <w:tabs>
        <w:tab w:val="center" w:pos="4419"/>
        <w:tab w:val="right" w:pos="8838"/>
      </w:tabs>
    </w:pPr>
  </w:style>
  <w:style w:type="character" w:customStyle="1" w:styleId="HeaderChar">
    <w:name w:val="Header Char"/>
    <w:basedOn w:val="DefaultParagraphFont"/>
    <w:link w:val="Header"/>
    <w:uiPriority w:val="99"/>
    <w:rsid w:val="00E41AC0"/>
    <w:rPr>
      <w:rFonts w:ascii="Arial MT" w:eastAsia="Arial MT" w:hAnsi="Arial MT" w:cs="Arial MT"/>
    </w:rPr>
  </w:style>
  <w:style w:type="paragraph" w:styleId="Footer">
    <w:name w:val="footer"/>
    <w:basedOn w:val="Normal"/>
    <w:link w:val="FooterChar"/>
    <w:uiPriority w:val="99"/>
    <w:unhideWhenUsed/>
    <w:rsid w:val="00E41AC0"/>
    <w:pPr>
      <w:tabs>
        <w:tab w:val="center" w:pos="4419"/>
        <w:tab w:val="right" w:pos="8838"/>
      </w:tabs>
    </w:pPr>
  </w:style>
  <w:style w:type="character" w:customStyle="1" w:styleId="FooterChar">
    <w:name w:val="Footer Char"/>
    <w:basedOn w:val="DefaultParagraphFont"/>
    <w:link w:val="Footer"/>
    <w:uiPriority w:val="99"/>
    <w:rsid w:val="00E41AC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environment/drinking-water/after-flood-private-drinking-water-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dec.vermont.gov/water/ww-systems" TargetMode="External"/><Relationship Id="rId4" Type="http://schemas.openxmlformats.org/officeDocument/2006/relationships/webSettings" Target="webSettings.xml"/><Relationship Id="rId9" Type="http://schemas.openxmlformats.org/officeDocument/2006/relationships/hyperlink" Target="https://dec.vermont.gov/sites/dec/files/dwgwp/DW/WellDrillersVT.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F2A62259-DDAD-46F1-93BB-4F90E70E6AAB}"/>
</file>

<file path=customXml/itemProps2.xml><?xml version="1.0" encoding="utf-8"?>
<ds:datastoreItem xmlns:ds="http://schemas.openxmlformats.org/officeDocument/2006/customXml" ds:itemID="{C2100419-9752-4409-AC7C-DF7D0FAFF6E5}"/>
</file>

<file path=customXml/itemProps3.xml><?xml version="1.0" encoding="utf-8"?>
<ds:datastoreItem xmlns:ds="http://schemas.openxmlformats.org/officeDocument/2006/customXml" ds:itemID="{7A40775D-DD22-4528-9BAC-15EA3AE43FF9}"/>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2656</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