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CA" w:rsidRPr="00105F59" w:rsidRDefault="00D82667" w:rsidP="0010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bookmarkStart w:id="0" w:name="_GoBack"/>
      <w:bookmarkEnd w:id="0"/>
      <w:r w:rsidR="00703BCA" w:rsidRPr="00105F59">
        <w:rPr>
          <w:b/>
          <w:sz w:val="28"/>
          <w:szCs w:val="28"/>
        </w:rPr>
        <w:t>reasurer’s Report - Tier I Gap (By Land Owner Type)</w:t>
      </w:r>
    </w:p>
    <w:p w:rsidR="00703BCA" w:rsidRDefault="00703BCA" w:rsidP="00C20BBF">
      <w:pPr>
        <w:jc w:val="center"/>
      </w:pPr>
      <w:r w:rsidRPr="00105F59">
        <w:rPr>
          <w:b/>
          <w:sz w:val="28"/>
          <w:szCs w:val="28"/>
        </w:rPr>
        <w:t>Annualized Average over 20 years</w:t>
      </w:r>
    </w:p>
    <w:p w:rsidR="00282219" w:rsidRDefault="008975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1736271</wp:posOffset>
                </wp:positionH>
                <wp:positionV relativeFrom="paragraph">
                  <wp:posOffset>1231719</wp:posOffset>
                </wp:positionV>
                <wp:extent cx="4267200" cy="2389414"/>
                <wp:effectExtent l="19050" t="1905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3894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F709C" id="Rectangle 3" o:spid="_x0000_s1026" style="position:absolute;margin-left:136.7pt;margin-top:97pt;width:336pt;height:18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" filled="f" strokecolor="#ed7d31 [3205]" strokeweight="3pt"/>
            </w:pict>
          </mc:Fallback>
        </mc:AlternateContent>
      </w:r>
      <w:r w:rsidR="00282219">
        <w:rPr>
          <w:noProof/>
        </w:rPr>
        <w:drawing>
          <wp:inline distT="0" distB="0" distL="0" distR="0" wp14:anchorId="42798C6E" wp14:editId="6578A646">
            <wp:extent cx="8229600" cy="3599815"/>
            <wp:effectExtent l="0" t="0" r="0" b="63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5C50BBE5-F05D-4700-890E-B7FF8F9060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B2327" w:rsidTr="00127D00">
        <w:tc>
          <w:tcPr>
            <w:tcW w:w="4316" w:type="dxa"/>
            <w:tcBorders>
              <w:bottom w:val="dotted" w:sz="4" w:space="0" w:color="auto"/>
            </w:tcBorders>
            <w:shd w:val="clear" w:color="auto" w:fill="auto"/>
          </w:tcPr>
          <w:p w:rsidR="007B2327" w:rsidRDefault="007B2327" w:rsidP="00105F59">
            <w:r>
              <w:t>Sector</w:t>
            </w:r>
          </w:p>
        </w:tc>
        <w:tc>
          <w:tcPr>
            <w:tcW w:w="4317" w:type="dxa"/>
            <w:tcBorders>
              <w:bottom w:val="dotted" w:sz="4" w:space="0" w:color="auto"/>
            </w:tcBorders>
            <w:shd w:val="clear" w:color="auto" w:fill="auto"/>
          </w:tcPr>
          <w:p w:rsidR="007B2327" w:rsidRDefault="007B2327" w:rsidP="007B2327">
            <w:r>
              <w:t>Land Owner Type</w:t>
            </w:r>
          </w:p>
        </w:tc>
        <w:tc>
          <w:tcPr>
            <w:tcW w:w="4317" w:type="dxa"/>
            <w:tcBorders>
              <w:bottom w:val="dotted" w:sz="4" w:space="0" w:color="auto"/>
            </w:tcBorders>
            <w:shd w:val="clear" w:color="auto" w:fill="auto"/>
          </w:tcPr>
          <w:p w:rsidR="007B2327" w:rsidRDefault="007B2327" w:rsidP="00105F59">
            <w:r>
              <w:t>Capital Bill Eligible?</w:t>
            </w:r>
          </w:p>
        </w:tc>
      </w:tr>
      <w:tr w:rsidR="007B2327" w:rsidTr="00127D00">
        <w:tc>
          <w:tcPr>
            <w:tcW w:w="4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2327" w:rsidRDefault="007B2327" w:rsidP="00105F59">
            <w:r>
              <w:t>Municipal Waste Water Control</w:t>
            </w:r>
          </w:p>
        </w:tc>
        <w:tc>
          <w:tcPr>
            <w:tcW w:w="4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2327" w:rsidRDefault="007B2327" w:rsidP="00105F59">
            <w:r>
              <w:t>Municipality</w:t>
            </w:r>
          </w:p>
        </w:tc>
        <w:tc>
          <w:tcPr>
            <w:tcW w:w="4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2327" w:rsidRDefault="007B2327" w:rsidP="00105F59">
            <w:r>
              <w:t>Yes</w:t>
            </w:r>
          </w:p>
        </w:tc>
      </w:tr>
      <w:tr w:rsidR="007B2327" w:rsidTr="00127D00">
        <w:tc>
          <w:tcPr>
            <w:tcW w:w="4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2327" w:rsidRDefault="007B2327" w:rsidP="00105F59">
            <w:proofErr w:type="spellStart"/>
            <w:r>
              <w:t>Stormwater</w:t>
            </w:r>
            <w:proofErr w:type="spellEnd"/>
            <w:r>
              <w:t xml:space="preserve"> - Municipal Roads</w:t>
            </w:r>
          </w:p>
        </w:tc>
        <w:tc>
          <w:tcPr>
            <w:tcW w:w="4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2327" w:rsidRDefault="007B2327" w:rsidP="00105F59">
            <w:r>
              <w:t>Municipality</w:t>
            </w:r>
          </w:p>
        </w:tc>
        <w:tc>
          <w:tcPr>
            <w:tcW w:w="4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2327" w:rsidRDefault="007B2327" w:rsidP="00105F59">
            <w:r>
              <w:t>Yes</w:t>
            </w:r>
          </w:p>
        </w:tc>
      </w:tr>
      <w:tr w:rsidR="007B2327" w:rsidTr="00127D00">
        <w:tc>
          <w:tcPr>
            <w:tcW w:w="4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2327" w:rsidRDefault="007B2327" w:rsidP="00105F59">
            <w:proofErr w:type="spellStart"/>
            <w:r>
              <w:t>Stormwater</w:t>
            </w:r>
            <w:proofErr w:type="spellEnd"/>
            <w:r>
              <w:t xml:space="preserve"> – Municipal Developed Lands</w:t>
            </w:r>
            <w:r w:rsidR="00C20BBF">
              <w:t>*</w:t>
            </w:r>
          </w:p>
        </w:tc>
        <w:tc>
          <w:tcPr>
            <w:tcW w:w="4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2327" w:rsidRDefault="007B2327" w:rsidP="00105F59">
            <w:r>
              <w:t>Municipality</w:t>
            </w:r>
          </w:p>
        </w:tc>
        <w:tc>
          <w:tcPr>
            <w:tcW w:w="4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2327" w:rsidRDefault="007B2327" w:rsidP="00105F59">
            <w:r>
              <w:t>Yes</w:t>
            </w:r>
            <w:r w:rsidR="00127D00">
              <w:t xml:space="preserve"> (</w:t>
            </w:r>
            <w:r>
              <w:t>planning</w:t>
            </w:r>
            <w:r w:rsidR="00127D00">
              <w:t xml:space="preserve"> is not eligible</w:t>
            </w:r>
            <w:r>
              <w:t>)</w:t>
            </w:r>
          </w:p>
        </w:tc>
      </w:tr>
      <w:tr w:rsidR="007B2327" w:rsidTr="00127D00">
        <w:tc>
          <w:tcPr>
            <w:tcW w:w="4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2327" w:rsidRDefault="007B2327" w:rsidP="00105F59">
            <w:proofErr w:type="spellStart"/>
            <w:r>
              <w:t>Stormwater</w:t>
            </w:r>
            <w:proofErr w:type="spellEnd"/>
            <w:r>
              <w:t xml:space="preserve"> – State Highways</w:t>
            </w:r>
          </w:p>
        </w:tc>
        <w:tc>
          <w:tcPr>
            <w:tcW w:w="4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2327" w:rsidRDefault="007B2327" w:rsidP="00105F59">
            <w:r>
              <w:t>State</w:t>
            </w:r>
          </w:p>
        </w:tc>
        <w:tc>
          <w:tcPr>
            <w:tcW w:w="4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2327" w:rsidRDefault="007B2327" w:rsidP="00105F59">
            <w:r>
              <w:t>No</w:t>
            </w:r>
          </w:p>
        </w:tc>
      </w:tr>
      <w:tr w:rsidR="007B2327" w:rsidTr="00127D00">
        <w:tc>
          <w:tcPr>
            <w:tcW w:w="4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327" w:rsidRDefault="007B2327" w:rsidP="00105F59">
            <w:proofErr w:type="spellStart"/>
            <w:r>
              <w:t>Stormwater</w:t>
            </w:r>
            <w:proofErr w:type="spellEnd"/>
            <w:r>
              <w:t xml:space="preserve"> – Private Land</w:t>
            </w:r>
          </w:p>
        </w:tc>
        <w:tc>
          <w:tcPr>
            <w:tcW w:w="4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327" w:rsidRDefault="007B2327" w:rsidP="00105F59">
            <w:r>
              <w:t>Private</w:t>
            </w:r>
          </w:p>
        </w:tc>
        <w:tc>
          <w:tcPr>
            <w:tcW w:w="4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327" w:rsidRDefault="00127D00" w:rsidP="00105F59">
            <w:r>
              <w:t>Eligible only if municipally sponsored (MS4)</w:t>
            </w:r>
          </w:p>
        </w:tc>
      </w:tr>
      <w:tr w:rsidR="007B2327" w:rsidTr="00127D00">
        <w:tc>
          <w:tcPr>
            <w:tcW w:w="4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327" w:rsidRDefault="00C20BBF" w:rsidP="00105F59">
            <w:r>
              <w:t>Agriculture</w:t>
            </w:r>
          </w:p>
        </w:tc>
        <w:tc>
          <w:tcPr>
            <w:tcW w:w="4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327" w:rsidRDefault="00C20BBF" w:rsidP="00105F59">
            <w:r>
              <w:t>Farmers</w:t>
            </w:r>
          </w:p>
        </w:tc>
        <w:tc>
          <w:tcPr>
            <w:tcW w:w="4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327" w:rsidRDefault="00C20BBF" w:rsidP="00105F59">
            <w:r>
              <w:t>Limited</w:t>
            </w:r>
          </w:p>
        </w:tc>
      </w:tr>
      <w:tr w:rsidR="007B2327" w:rsidTr="00127D00">
        <w:trPr>
          <w:trHeight w:val="89"/>
        </w:trPr>
        <w:tc>
          <w:tcPr>
            <w:tcW w:w="4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327" w:rsidRDefault="00C20BBF" w:rsidP="00105F59">
            <w:r>
              <w:t>Natural Resources</w:t>
            </w:r>
          </w:p>
        </w:tc>
        <w:tc>
          <w:tcPr>
            <w:tcW w:w="4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327" w:rsidRDefault="00C20BBF" w:rsidP="00105F59">
            <w:r>
              <w:t>All Types</w:t>
            </w:r>
          </w:p>
        </w:tc>
        <w:tc>
          <w:tcPr>
            <w:tcW w:w="4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327" w:rsidRDefault="00C20BBF" w:rsidP="00105F59">
            <w:r>
              <w:t>Yes</w:t>
            </w:r>
          </w:p>
        </w:tc>
      </w:tr>
    </w:tbl>
    <w:p w:rsidR="002953CD" w:rsidRDefault="002953CD" w:rsidP="00105F59">
      <w:pPr>
        <w:spacing w:after="0"/>
      </w:pPr>
    </w:p>
    <w:p w:rsidR="00491288" w:rsidRDefault="00C20BBF" w:rsidP="00D82667">
      <w:pPr>
        <w:spacing w:after="0"/>
      </w:pPr>
      <w:r>
        <w:t>*</w:t>
      </w:r>
      <w:r w:rsidR="002953CD">
        <w:t xml:space="preserve">Assumes that DEC’s Ecosystem Restoration Fund will receive Capital Bill monies each year ($3.1 million annual average) to pay municipal costs to pay for </w:t>
      </w:r>
      <w:proofErr w:type="spellStart"/>
      <w:r w:rsidR="002953CD">
        <w:t>stormwater</w:t>
      </w:r>
      <w:proofErr w:type="spellEnd"/>
      <w:r w:rsidR="002953CD">
        <w:t xml:space="preserve"> retrofits of impervious surfaces greater than 3 acres.</w:t>
      </w:r>
      <w:r w:rsidR="00D82667" w:rsidRPr="00491288">
        <w:rPr>
          <w:noProof/>
        </w:rPr>
        <w:t xml:space="preserve"> </w:t>
      </w:r>
    </w:p>
    <w:sectPr w:rsidR="00491288" w:rsidSect="00774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62" w:rsidRDefault="00774862" w:rsidP="00774862">
      <w:pPr>
        <w:spacing w:after="0" w:line="240" w:lineRule="auto"/>
      </w:pPr>
      <w:r>
        <w:separator/>
      </w:r>
    </w:p>
  </w:endnote>
  <w:endnote w:type="continuationSeparator" w:id="0">
    <w:p w:rsidR="00774862" w:rsidRDefault="00774862" w:rsidP="0077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862" w:rsidRDefault="0077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862" w:rsidRDefault="007748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862" w:rsidRDefault="0077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62" w:rsidRDefault="00774862" w:rsidP="00774862">
      <w:pPr>
        <w:spacing w:after="0" w:line="240" w:lineRule="auto"/>
      </w:pPr>
      <w:r>
        <w:separator/>
      </w:r>
    </w:p>
  </w:footnote>
  <w:footnote w:type="continuationSeparator" w:id="0">
    <w:p w:rsidR="00774862" w:rsidRDefault="00774862" w:rsidP="0077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862" w:rsidRDefault="0077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862" w:rsidRDefault="0077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862" w:rsidRDefault="0077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B45"/>
    <w:multiLevelType w:val="hybridMultilevel"/>
    <w:tmpl w:val="6F4888A6"/>
    <w:lvl w:ilvl="0" w:tplc="28D01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6EE1"/>
    <w:multiLevelType w:val="hybridMultilevel"/>
    <w:tmpl w:val="35D8E620"/>
    <w:lvl w:ilvl="0" w:tplc="F2B0E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B5277"/>
    <w:multiLevelType w:val="hybridMultilevel"/>
    <w:tmpl w:val="21E6FE6E"/>
    <w:lvl w:ilvl="0" w:tplc="2EC25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D3A4D"/>
    <w:multiLevelType w:val="hybridMultilevel"/>
    <w:tmpl w:val="267237CA"/>
    <w:lvl w:ilvl="0" w:tplc="131C9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3161B"/>
    <w:multiLevelType w:val="hybridMultilevel"/>
    <w:tmpl w:val="A7307CC4"/>
    <w:lvl w:ilvl="0" w:tplc="AC969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9"/>
    <w:rsid w:val="000A2777"/>
    <w:rsid w:val="00105F59"/>
    <w:rsid w:val="00127D00"/>
    <w:rsid w:val="00282219"/>
    <w:rsid w:val="002953CD"/>
    <w:rsid w:val="00491288"/>
    <w:rsid w:val="00630367"/>
    <w:rsid w:val="00703BCA"/>
    <w:rsid w:val="00774862"/>
    <w:rsid w:val="007B2327"/>
    <w:rsid w:val="00897526"/>
    <w:rsid w:val="008A7D16"/>
    <w:rsid w:val="00A44914"/>
    <w:rsid w:val="00C20BBF"/>
    <w:rsid w:val="00C710B1"/>
    <w:rsid w:val="00D82667"/>
    <w:rsid w:val="00E97231"/>
    <w:rsid w:val="00EB7B65"/>
    <w:rsid w:val="00F501AC"/>
    <w:rsid w:val="00F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AD18FE"/>
  <w15:chartTrackingRefBased/>
  <w15:docId w15:val="{A4745142-67E5-49CC-8EC7-EF183344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CD"/>
    <w:pPr>
      <w:ind w:left="720"/>
      <w:contextualSpacing/>
    </w:pPr>
  </w:style>
  <w:style w:type="table" w:styleId="TableGrid">
    <w:name w:val="Table Grid"/>
    <w:basedOn w:val="TableNormal"/>
    <w:uiPriority w:val="39"/>
    <w:rsid w:val="007B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862"/>
  </w:style>
  <w:style w:type="paragraph" w:styleId="Footer">
    <w:name w:val="footer"/>
    <w:basedOn w:val="Normal"/>
    <w:link w:val="FooterChar"/>
    <w:uiPriority w:val="99"/>
    <w:unhideWhenUsed/>
    <w:rsid w:val="0077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862"/>
  </w:style>
  <w:style w:type="paragraph" w:styleId="BalloonText">
    <w:name w:val="Balloon Text"/>
    <w:basedOn w:val="Normal"/>
    <w:link w:val="BalloonTextChar"/>
    <w:uiPriority w:val="99"/>
    <w:semiHidden/>
    <w:unhideWhenUsed/>
    <w:rsid w:val="0089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becca.ellis\Desktop\2017%20Clean%20Water%20Funding_Materials%20for%20Study%20Group\2017-04-06%20master%20spreadsheet%20with%20scrol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576520538458778E-2"/>
          <c:y val="3.1780726183905983E-2"/>
          <c:w val="0.89944808991863723"/>
          <c:h val="0.8097403717139251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'Summary Graphics'!$B$26</c:f>
              <c:strCache>
                <c:ptCount val="1"/>
                <c:pt idx="0">
                  <c:v> State Revenue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accent6"/>
              </a:solidFill>
            </a:ln>
            <a:effectLst/>
          </c:spPr>
          <c:invertIfNegative val="0"/>
          <c:cat>
            <c:strRef>
              <c:f>'Summary Graphics'!$A$27:$A$33</c:f>
              <c:strCache>
                <c:ptCount val="7"/>
                <c:pt idx="0">
                  <c:v>Municipal Wastewater Control</c:v>
                </c:pt>
                <c:pt idx="1">
                  <c:v>Municipal Roads Runoff/Erosion Control</c:v>
                </c:pt>
                <c:pt idx="2">
                  <c:v>Municipal Developed Lands Stormwater Control</c:v>
                </c:pt>
                <c:pt idx="3">
                  <c:v>State Highways Stormwater Control</c:v>
                </c:pt>
                <c:pt idx="4">
                  <c:v>Private Developed Lands Stormwater Control</c:v>
                </c:pt>
                <c:pt idx="5">
                  <c:v>Agriculture Pollution Control</c:v>
                </c:pt>
                <c:pt idx="6">
                  <c:v>Natural Resources Restoration</c:v>
                </c:pt>
              </c:strCache>
            </c:strRef>
          </c:cat>
          <c:val>
            <c:numRef>
              <c:f>'Summary Graphics'!$B$27:$B$33</c:f>
              <c:numCache>
                <c:formatCode>0.00_);[Red]\(0.00\)</c:formatCode>
                <c:ptCount val="7"/>
                <c:pt idx="0">
                  <c:v>2.1357211789495278</c:v>
                </c:pt>
                <c:pt idx="1">
                  <c:v>0.58000000000000007</c:v>
                </c:pt>
                <c:pt idx="2">
                  <c:v>3.5102500000000019</c:v>
                </c:pt>
                <c:pt idx="5">
                  <c:v>5.1915000000000004</c:v>
                </c:pt>
                <c:pt idx="6">
                  <c:v>0.27634999999999998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CE-4BEB-90DB-BDF5FCEA3DDD}"/>
            </c:ext>
          </c:extLst>
        </c:ser>
        <c:ser>
          <c:idx val="2"/>
          <c:order val="1"/>
          <c:tx>
            <c:strRef>
              <c:f>'Summary Graphics'!$C$26</c:f>
              <c:strCache>
                <c:ptCount val="1"/>
                <c:pt idx="0">
                  <c:v> Federal Revenue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accent3"/>
              </a:solidFill>
            </a:ln>
            <a:effectLst/>
          </c:spPr>
          <c:invertIfNegative val="0"/>
          <c:cat>
            <c:strRef>
              <c:f>'Summary Graphics'!$A$27:$A$33</c:f>
              <c:strCache>
                <c:ptCount val="7"/>
                <c:pt idx="0">
                  <c:v>Municipal Wastewater Control</c:v>
                </c:pt>
                <c:pt idx="1">
                  <c:v>Municipal Roads Runoff/Erosion Control</c:v>
                </c:pt>
                <c:pt idx="2">
                  <c:v>Municipal Developed Lands Stormwater Control</c:v>
                </c:pt>
                <c:pt idx="3">
                  <c:v>State Highways Stormwater Control</c:v>
                </c:pt>
                <c:pt idx="4">
                  <c:v>Private Developed Lands Stormwater Control</c:v>
                </c:pt>
                <c:pt idx="5">
                  <c:v>Agriculture Pollution Control</c:v>
                </c:pt>
                <c:pt idx="6">
                  <c:v>Natural Resources Restoration</c:v>
                </c:pt>
              </c:strCache>
            </c:strRef>
          </c:cat>
          <c:val>
            <c:numRef>
              <c:f>'Summary Graphics'!$C$27:$C$33</c:f>
              <c:numCache>
                <c:formatCode>0.00_);[Red]\(0.00\)</c:formatCode>
                <c:ptCount val="7"/>
                <c:pt idx="0">
                  <c:v>8.6233357267180786</c:v>
                </c:pt>
                <c:pt idx="1">
                  <c:v>1.2100000000000004</c:v>
                </c:pt>
                <c:pt idx="2">
                  <c:v>0.23749999999999999</c:v>
                </c:pt>
                <c:pt idx="3">
                  <c:v>4.5540089499999983</c:v>
                </c:pt>
                <c:pt idx="5">
                  <c:v>5.1760000000000002</c:v>
                </c:pt>
                <c:pt idx="6">
                  <c:v>1.37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CE-4BEB-90DB-BDF5FCEA3DDD}"/>
            </c:ext>
          </c:extLst>
        </c:ser>
        <c:ser>
          <c:idx val="0"/>
          <c:order val="2"/>
          <c:tx>
            <c:strRef>
              <c:f>'Summary Graphics'!$E$26</c:f>
              <c:strCache>
                <c:ptCount val="1"/>
                <c:pt idx="0">
                  <c:v> Total Gap</c:v>
                </c:pt>
              </c:strCache>
            </c:strRef>
          </c:tx>
          <c:spPr>
            <a:solidFill>
              <a:schemeClr val="bg1"/>
            </a:solidFill>
            <a:ln w="1905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'Summary Graphics'!$A$27:$A$33</c:f>
              <c:strCache>
                <c:ptCount val="7"/>
                <c:pt idx="0">
                  <c:v>Municipal Wastewater Control</c:v>
                </c:pt>
                <c:pt idx="1">
                  <c:v>Municipal Roads Runoff/Erosion Control</c:v>
                </c:pt>
                <c:pt idx="2">
                  <c:v>Municipal Developed Lands Stormwater Control</c:v>
                </c:pt>
                <c:pt idx="3">
                  <c:v>State Highways Stormwater Control</c:v>
                </c:pt>
                <c:pt idx="4">
                  <c:v>Private Developed Lands Stormwater Control</c:v>
                </c:pt>
                <c:pt idx="5">
                  <c:v>Agriculture Pollution Control</c:v>
                </c:pt>
                <c:pt idx="6">
                  <c:v>Natural Resources Restoration</c:v>
                </c:pt>
              </c:strCache>
            </c:strRef>
          </c:cat>
          <c:val>
            <c:numRef>
              <c:f>'Summary Graphics'!$E$27:$E$33</c:f>
              <c:numCache>
                <c:formatCode>0.00_);[Red]\(0.00\)</c:formatCode>
                <c:ptCount val="7"/>
                <c:pt idx="0">
                  <c:v>6.1394930943323924</c:v>
                </c:pt>
                <c:pt idx="1">
                  <c:v>5.7584750000000007</c:v>
                </c:pt>
                <c:pt idx="2">
                  <c:v>6.6367825000015479E-3</c:v>
                </c:pt>
                <c:pt idx="3">
                  <c:v>0</c:v>
                </c:pt>
                <c:pt idx="4">
                  <c:v>18.3663082325</c:v>
                </c:pt>
                <c:pt idx="5">
                  <c:v>16.014182692307692</c:v>
                </c:pt>
                <c:pt idx="6">
                  <c:v>2.5478999999999994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CE-4BEB-90DB-BDF5FCEA3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overlap val="100"/>
        <c:axId val="394441104"/>
        <c:axId val="1"/>
      </c:barChart>
      <c:catAx>
        <c:axId val="3944411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Franklin Gothic Book" panose="020B05030201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Sector</a:t>
                </a:r>
              </a:p>
            </c:rich>
          </c:tx>
          <c:layout>
            <c:manualLayout>
              <c:xMode val="edge"/>
              <c:yMode val="edge"/>
              <c:x val="0.50360107560084399"/>
              <c:y val="0.9322696505042132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ranklin Gothic Book" panose="020B05030201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4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Franklin Gothic Book" panose="020B05030201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Dollars in Millions</a:t>
                </a:r>
              </a:p>
            </c:rich>
          </c:tx>
          <c:layout>
            <c:manualLayout>
              <c:xMode val="edge"/>
              <c:yMode val="edge"/>
              <c:x val="1.0394987391281973E-2"/>
              <c:y val="0.22085481420085648"/>
            </c:manualLayout>
          </c:layout>
          <c:overlay val="0"/>
          <c:spPr>
            <a:noFill/>
            <a:ln w="25400">
              <a:noFill/>
            </a:ln>
          </c:spPr>
        </c:title>
        <c:numFmt formatCode="\$#,##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ranklin Gothic Book" panose="020B05030201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4441104"/>
        <c:crosses val="autoZero"/>
        <c:crossBetween val="between"/>
      </c:valAx>
      <c:spPr>
        <a:noFill/>
        <a:ln>
          <a:solidFill>
            <a:schemeClr val="bg1">
              <a:lumMod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59673283551449874"/>
          <c:y val="4.2232316405068339E-2"/>
          <c:w val="0.3490200812319193"/>
          <c:h val="7.5414850723336313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Franklin Gothic Book" panose="020B05030201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Franklin Gothic Book" panose="020B05030201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Rebecca</dc:creator>
  <cp:keywords/>
  <dc:description/>
  <cp:lastModifiedBy>Ellis, Rebecca</cp:lastModifiedBy>
  <cp:revision>3</cp:revision>
  <cp:lastPrinted>2017-08-10T19:30:00Z</cp:lastPrinted>
  <dcterms:created xsi:type="dcterms:W3CDTF">2017-08-10T21:57:00Z</dcterms:created>
  <dcterms:modified xsi:type="dcterms:W3CDTF">2017-08-10T21:57:00Z</dcterms:modified>
</cp:coreProperties>
</file>