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D801" w14:textId="77777777" w:rsidR="008A1B57" w:rsidRPr="00AA2474" w:rsidRDefault="008A1B57" w:rsidP="008A1B57">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DRAFT MINUTES</w:t>
      </w:r>
    </w:p>
    <w:p w14:paraId="5CCC0B63" w14:textId="77777777" w:rsidR="000F50BA" w:rsidRPr="00AA2474" w:rsidRDefault="000F50BA" w:rsidP="00E13E00">
      <w:pPr>
        <w:spacing w:after="0"/>
        <w:jc w:val="center"/>
        <w:rPr>
          <w:rFonts w:ascii="Times New Roman" w:hAnsi="Times New Roman" w:cs="Times New Roman"/>
          <w:b/>
          <w:sz w:val="24"/>
          <w:szCs w:val="24"/>
        </w:rPr>
      </w:pPr>
    </w:p>
    <w:p w14:paraId="43678F97" w14:textId="1CD1FF7A" w:rsidR="006848EF" w:rsidRPr="00AA2474" w:rsidRDefault="00FC5920" w:rsidP="00BB53D1">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 xml:space="preserve">Act 73 </w:t>
      </w:r>
      <w:r w:rsidR="006848EF" w:rsidRPr="00AA2474">
        <w:rPr>
          <w:rFonts w:ascii="Times New Roman" w:hAnsi="Times New Roman" w:cs="Times New Roman"/>
          <w:b/>
          <w:sz w:val="24"/>
          <w:szCs w:val="24"/>
        </w:rPr>
        <w:t xml:space="preserve">Working Group </w:t>
      </w:r>
      <w:r w:rsidR="002718C3" w:rsidRPr="00AA2474">
        <w:rPr>
          <w:rFonts w:ascii="Times New Roman" w:hAnsi="Times New Roman" w:cs="Times New Roman"/>
          <w:b/>
          <w:sz w:val="24"/>
          <w:szCs w:val="24"/>
        </w:rPr>
        <w:t xml:space="preserve">and Advisory Council </w:t>
      </w:r>
      <w:r w:rsidR="006848EF" w:rsidRPr="00AA2474">
        <w:rPr>
          <w:rFonts w:ascii="Times New Roman" w:hAnsi="Times New Roman" w:cs="Times New Roman"/>
          <w:b/>
          <w:sz w:val="24"/>
          <w:szCs w:val="24"/>
        </w:rPr>
        <w:t>o</w:t>
      </w:r>
      <w:r w:rsidRPr="00AA2474">
        <w:rPr>
          <w:rFonts w:ascii="Times New Roman" w:hAnsi="Times New Roman" w:cs="Times New Roman"/>
          <w:b/>
          <w:sz w:val="24"/>
          <w:szCs w:val="24"/>
        </w:rPr>
        <w:t>n Water Quality Funding</w:t>
      </w:r>
    </w:p>
    <w:p w14:paraId="48342216" w14:textId="5AA0F4B6" w:rsidR="006848EF" w:rsidRPr="00AA2474" w:rsidRDefault="006848EF" w:rsidP="00BB53D1">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 xml:space="preserve">National Life, </w:t>
      </w:r>
      <w:r w:rsidR="002718C3" w:rsidRPr="00AA2474">
        <w:rPr>
          <w:rFonts w:ascii="Times New Roman" w:hAnsi="Times New Roman" w:cs="Times New Roman"/>
          <w:b/>
          <w:sz w:val="24"/>
          <w:szCs w:val="24"/>
        </w:rPr>
        <w:t>Davis 5</w:t>
      </w:r>
      <w:r w:rsidR="002718C3" w:rsidRPr="00AA2474">
        <w:rPr>
          <w:rFonts w:ascii="Times New Roman" w:hAnsi="Times New Roman" w:cs="Times New Roman"/>
          <w:b/>
          <w:sz w:val="24"/>
          <w:szCs w:val="24"/>
          <w:vertAlign w:val="superscript"/>
        </w:rPr>
        <w:t>th</w:t>
      </w:r>
      <w:r w:rsidR="002718C3" w:rsidRPr="00AA2474">
        <w:rPr>
          <w:rFonts w:ascii="Times New Roman" w:hAnsi="Times New Roman" w:cs="Times New Roman"/>
          <w:b/>
          <w:sz w:val="24"/>
          <w:szCs w:val="24"/>
        </w:rPr>
        <w:t xml:space="preserve"> Floor, Montpelier</w:t>
      </w:r>
    </w:p>
    <w:p w14:paraId="6700BD09" w14:textId="77777777" w:rsidR="000F50BA" w:rsidRPr="00AA2474" w:rsidRDefault="000F50BA" w:rsidP="00BB53D1">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 xml:space="preserve">Call-In Number: </w:t>
      </w:r>
      <w:r w:rsidRPr="00AA2474">
        <w:rPr>
          <w:rFonts w:ascii="Times New Roman" w:hAnsi="Times New Roman" w:cs="Times New Roman"/>
          <w:b/>
          <w:bCs/>
          <w:sz w:val="24"/>
          <w:szCs w:val="24"/>
        </w:rPr>
        <w:t>(802) 448-4858</w:t>
      </w:r>
      <w:r w:rsidRPr="00AA2474">
        <w:rPr>
          <w:rFonts w:ascii="Times New Roman" w:hAnsi="Times New Roman" w:cs="Times New Roman"/>
          <w:sz w:val="24"/>
          <w:szCs w:val="24"/>
        </w:rPr>
        <w:t>. </w:t>
      </w:r>
    </w:p>
    <w:p w14:paraId="137ED308" w14:textId="23EE247F" w:rsidR="00BB53D1" w:rsidRPr="00AA2474" w:rsidRDefault="002718C3" w:rsidP="00BB53D1">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Friday, September 8</w:t>
      </w:r>
      <w:r w:rsidR="00BB53D1" w:rsidRPr="00AA2474">
        <w:rPr>
          <w:rFonts w:ascii="Times New Roman" w:hAnsi="Times New Roman" w:cs="Times New Roman"/>
          <w:b/>
          <w:sz w:val="24"/>
          <w:szCs w:val="24"/>
        </w:rPr>
        <w:t>, 2017</w:t>
      </w:r>
    </w:p>
    <w:p w14:paraId="231E43E2" w14:textId="66AE7855" w:rsidR="00BB53D1" w:rsidRPr="00AA2474" w:rsidRDefault="000E0A1A" w:rsidP="00BB53D1">
      <w:pPr>
        <w:spacing w:after="0"/>
        <w:jc w:val="center"/>
        <w:rPr>
          <w:rFonts w:ascii="Times New Roman" w:hAnsi="Times New Roman" w:cs="Times New Roman"/>
          <w:b/>
          <w:sz w:val="24"/>
          <w:szCs w:val="24"/>
        </w:rPr>
      </w:pPr>
      <w:r w:rsidRPr="00AA2474">
        <w:rPr>
          <w:rFonts w:ascii="Times New Roman" w:hAnsi="Times New Roman" w:cs="Times New Roman"/>
          <w:b/>
          <w:sz w:val="24"/>
          <w:szCs w:val="24"/>
        </w:rPr>
        <w:t>9:00-10</w:t>
      </w:r>
      <w:r w:rsidR="00FC5920" w:rsidRPr="00AA2474">
        <w:rPr>
          <w:rFonts w:ascii="Times New Roman" w:hAnsi="Times New Roman" w:cs="Times New Roman"/>
          <w:b/>
          <w:sz w:val="24"/>
          <w:szCs w:val="24"/>
        </w:rPr>
        <w:t>:30</w:t>
      </w:r>
      <w:r w:rsidR="00567677" w:rsidRPr="00AA2474">
        <w:rPr>
          <w:rFonts w:ascii="Times New Roman" w:hAnsi="Times New Roman" w:cs="Times New Roman"/>
          <w:b/>
          <w:sz w:val="24"/>
          <w:szCs w:val="24"/>
        </w:rPr>
        <w:t xml:space="preserve"> AM</w:t>
      </w:r>
    </w:p>
    <w:p w14:paraId="0F832D66" w14:textId="77777777" w:rsidR="00BB53D1" w:rsidRPr="00AA2474" w:rsidRDefault="00BB53D1" w:rsidP="00635899">
      <w:pPr>
        <w:spacing w:after="0"/>
        <w:rPr>
          <w:rFonts w:ascii="Times New Roman" w:hAnsi="Times New Roman" w:cs="Times New Roman"/>
          <w:sz w:val="24"/>
          <w:szCs w:val="24"/>
        </w:rPr>
      </w:pPr>
    </w:p>
    <w:p w14:paraId="7CE29760" w14:textId="77777777" w:rsidR="00DF1EA4" w:rsidRPr="00AA2474" w:rsidRDefault="00DF1EA4" w:rsidP="00BB53D1">
      <w:pPr>
        <w:spacing w:after="0"/>
        <w:rPr>
          <w:rFonts w:ascii="Times New Roman" w:hAnsi="Times New Roman" w:cs="Times New Roman"/>
          <w:sz w:val="24"/>
          <w:szCs w:val="24"/>
        </w:rPr>
      </w:pPr>
    </w:p>
    <w:p w14:paraId="706DEDE0" w14:textId="77777777" w:rsidR="008A1B57" w:rsidRPr="00AA2474" w:rsidRDefault="008A1B57" w:rsidP="00BB53D1">
      <w:pPr>
        <w:spacing w:after="0"/>
        <w:rPr>
          <w:rFonts w:ascii="Times New Roman" w:hAnsi="Times New Roman" w:cs="Times New Roman"/>
          <w:sz w:val="24"/>
          <w:szCs w:val="24"/>
        </w:rPr>
      </w:pPr>
    </w:p>
    <w:p w14:paraId="4646BEFE" w14:textId="18A32964" w:rsidR="008A1B57" w:rsidRPr="00AA2474" w:rsidRDefault="008A1B57" w:rsidP="008A1B57">
      <w:pPr>
        <w:spacing w:after="0"/>
        <w:rPr>
          <w:rFonts w:ascii="Times New Roman" w:hAnsi="Times New Roman" w:cs="Times New Roman"/>
          <w:sz w:val="24"/>
          <w:szCs w:val="24"/>
        </w:rPr>
      </w:pPr>
      <w:r w:rsidRPr="00AA2474">
        <w:rPr>
          <w:rFonts w:ascii="Times New Roman" w:hAnsi="Times New Roman" w:cs="Times New Roman"/>
          <w:sz w:val="24"/>
          <w:szCs w:val="24"/>
        </w:rPr>
        <w:t xml:space="preserve">Working Group Members: ANR Secretary Julie Moore, Tax Commissioner Kaj Samsom, VLCT </w:t>
      </w:r>
      <w:r w:rsidR="00C7787F" w:rsidRPr="00AA2474">
        <w:rPr>
          <w:rFonts w:ascii="Times New Roman" w:hAnsi="Times New Roman" w:cs="Times New Roman"/>
          <w:sz w:val="24"/>
          <w:szCs w:val="24"/>
        </w:rPr>
        <w:t>Dominic Cloud (by phone)</w:t>
      </w:r>
      <w:r w:rsidRPr="00AA2474">
        <w:rPr>
          <w:rFonts w:ascii="Times New Roman" w:hAnsi="Times New Roman" w:cs="Times New Roman"/>
          <w:sz w:val="24"/>
          <w:szCs w:val="24"/>
        </w:rPr>
        <w:t xml:space="preserve">, John Grenier of Grenier Engineering, AAFM Diane Bothfeld (by phone), </w:t>
      </w:r>
      <w:r w:rsidR="00C7787F" w:rsidRPr="00AA2474">
        <w:rPr>
          <w:rFonts w:ascii="Times New Roman" w:hAnsi="Times New Roman" w:cs="Times New Roman"/>
          <w:sz w:val="24"/>
          <w:szCs w:val="24"/>
        </w:rPr>
        <w:t>VCGI Leslie Pelch</w:t>
      </w:r>
    </w:p>
    <w:p w14:paraId="1D821DB5" w14:textId="77777777" w:rsidR="00C7787F" w:rsidRPr="00AA2474" w:rsidRDefault="00C7787F" w:rsidP="008A1B57">
      <w:pPr>
        <w:spacing w:after="0"/>
        <w:rPr>
          <w:rFonts w:ascii="Times New Roman" w:hAnsi="Times New Roman" w:cs="Times New Roman"/>
          <w:sz w:val="24"/>
          <w:szCs w:val="24"/>
        </w:rPr>
      </w:pPr>
    </w:p>
    <w:p w14:paraId="3530A711" w14:textId="540EC6D8" w:rsidR="00C7787F" w:rsidRPr="00AA2474" w:rsidRDefault="00C7787F" w:rsidP="00C7787F">
      <w:pPr>
        <w:autoSpaceDE w:val="0"/>
        <w:autoSpaceDN w:val="0"/>
        <w:adjustRightInd w:val="0"/>
        <w:spacing w:after="0" w:line="240" w:lineRule="auto"/>
        <w:rPr>
          <w:rFonts w:ascii="Times New Roman" w:hAnsi="Times New Roman" w:cs="Times New Roman"/>
          <w:sz w:val="24"/>
          <w:szCs w:val="24"/>
        </w:rPr>
      </w:pPr>
      <w:r w:rsidRPr="00AA2474">
        <w:rPr>
          <w:rFonts w:ascii="Times New Roman" w:hAnsi="Times New Roman" w:cs="Times New Roman"/>
          <w:sz w:val="24"/>
          <w:szCs w:val="24"/>
        </w:rPr>
        <w:t>Advisory Council Members:  Treasurer Beth Pearce, VTrans Michele Boomhower, Dawn Custer (Vermont Municipal Clerks and Treasurers Association), John Hollar (Vermont Mayors Coalition), Jared Carpenter (Lake Champlain Coalition), Jill Arace (Vermont Association of Conservation Districts), Chuck Ross (University of Vermont Extension)</w:t>
      </w:r>
    </w:p>
    <w:p w14:paraId="2319E194" w14:textId="77777777" w:rsidR="008A1B57" w:rsidRPr="00AA2474" w:rsidRDefault="008A1B57" w:rsidP="008A1B57">
      <w:pPr>
        <w:spacing w:after="0"/>
        <w:rPr>
          <w:rFonts w:ascii="Times New Roman" w:hAnsi="Times New Roman" w:cs="Times New Roman"/>
          <w:sz w:val="24"/>
          <w:szCs w:val="24"/>
        </w:rPr>
      </w:pPr>
    </w:p>
    <w:p w14:paraId="32EFB34C" w14:textId="5D98EB3A" w:rsidR="008A1B57" w:rsidRDefault="00C7787F" w:rsidP="008A1B57">
      <w:pPr>
        <w:spacing w:after="0"/>
        <w:rPr>
          <w:rFonts w:ascii="Times New Roman" w:hAnsi="Times New Roman" w:cs="Times New Roman"/>
          <w:sz w:val="24"/>
          <w:szCs w:val="24"/>
        </w:rPr>
      </w:pPr>
      <w:r w:rsidRPr="00AA2474">
        <w:rPr>
          <w:rFonts w:ascii="Times New Roman" w:hAnsi="Times New Roman" w:cs="Times New Roman"/>
          <w:sz w:val="24"/>
          <w:szCs w:val="24"/>
        </w:rPr>
        <w:t>Public</w:t>
      </w:r>
      <w:r w:rsidR="008A1B57" w:rsidRPr="00AA2474">
        <w:rPr>
          <w:rFonts w:ascii="Times New Roman" w:hAnsi="Times New Roman" w:cs="Times New Roman"/>
          <w:sz w:val="24"/>
          <w:szCs w:val="24"/>
        </w:rPr>
        <w:t xml:space="preserve">:  </w:t>
      </w:r>
      <w:r w:rsidRPr="00AA2474">
        <w:rPr>
          <w:rFonts w:ascii="Times New Roman" w:hAnsi="Times New Roman" w:cs="Times New Roman"/>
          <w:sz w:val="24"/>
          <w:szCs w:val="24"/>
        </w:rPr>
        <w:t xml:space="preserve">Matt Musgrave, Jeff Wennberg, Jenna Olsen, </w:t>
      </w:r>
      <w:r w:rsidR="008A1B57" w:rsidRPr="00AA2474">
        <w:rPr>
          <w:rFonts w:ascii="Times New Roman" w:hAnsi="Times New Roman" w:cs="Times New Roman"/>
          <w:sz w:val="24"/>
          <w:szCs w:val="24"/>
        </w:rPr>
        <w:t xml:space="preserve">Andrew Stein, Rebecca Ellis, Ashley Romeo-Boles, </w:t>
      </w:r>
      <w:r w:rsidRPr="00AA2474">
        <w:rPr>
          <w:rFonts w:ascii="Times New Roman" w:hAnsi="Times New Roman" w:cs="Times New Roman"/>
          <w:i/>
          <w:sz w:val="24"/>
          <w:szCs w:val="24"/>
        </w:rPr>
        <w:t>and others.</w:t>
      </w:r>
    </w:p>
    <w:p w14:paraId="4E85093B" w14:textId="60BFEB42" w:rsidR="00AA2474" w:rsidRDefault="00AA2474" w:rsidP="008A1B57">
      <w:pPr>
        <w:spacing w:after="0"/>
        <w:rPr>
          <w:rFonts w:ascii="Times New Roman" w:hAnsi="Times New Roman" w:cs="Times New Roman"/>
          <w:sz w:val="24"/>
          <w:szCs w:val="24"/>
        </w:rPr>
      </w:pPr>
    </w:p>
    <w:p w14:paraId="3DB1201D" w14:textId="6A3EE8DE" w:rsidR="00AA2474" w:rsidRPr="00AA2474" w:rsidRDefault="00AA2474" w:rsidP="008A1B57">
      <w:pPr>
        <w:spacing w:after="0"/>
        <w:rPr>
          <w:rFonts w:ascii="Times New Roman" w:hAnsi="Times New Roman" w:cs="Times New Roman"/>
          <w:sz w:val="24"/>
          <w:szCs w:val="24"/>
        </w:rPr>
      </w:pPr>
      <w:r>
        <w:rPr>
          <w:rFonts w:ascii="Times New Roman" w:hAnsi="Times New Roman" w:cs="Times New Roman"/>
          <w:sz w:val="24"/>
          <w:szCs w:val="24"/>
        </w:rPr>
        <w:t>The meeting came to order at 9:00 AM.</w:t>
      </w:r>
    </w:p>
    <w:p w14:paraId="30BE3DDB" w14:textId="77777777" w:rsidR="008A1B57" w:rsidRPr="00AA2474" w:rsidRDefault="008A1B57" w:rsidP="008A1B57">
      <w:pPr>
        <w:spacing w:after="0"/>
        <w:rPr>
          <w:rFonts w:ascii="Times New Roman" w:hAnsi="Times New Roman" w:cs="Times New Roman"/>
          <w:sz w:val="24"/>
          <w:szCs w:val="24"/>
        </w:rPr>
      </w:pPr>
    </w:p>
    <w:p w14:paraId="0D57CCD5" w14:textId="439C76BB" w:rsidR="008A1B57" w:rsidRPr="00AA2474" w:rsidRDefault="008A1B57" w:rsidP="008A1B57">
      <w:pPr>
        <w:pStyle w:val="ListParagraph"/>
        <w:numPr>
          <w:ilvl w:val="0"/>
          <w:numId w:val="15"/>
        </w:numPr>
        <w:spacing w:after="0"/>
        <w:ind w:left="360"/>
        <w:rPr>
          <w:rFonts w:ascii="Times New Roman" w:hAnsi="Times New Roman" w:cs="Times New Roman"/>
          <w:sz w:val="24"/>
          <w:szCs w:val="24"/>
        </w:rPr>
      </w:pPr>
      <w:r w:rsidRPr="00AA2474">
        <w:rPr>
          <w:rFonts w:ascii="Times New Roman" w:hAnsi="Times New Roman" w:cs="Times New Roman"/>
          <w:sz w:val="24"/>
          <w:szCs w:val="24"/>
          <w:u w:val="single"/>
        </w:rPr>
        <w:t>Review Agenda</w:t>
      </w:r>
      <w:r w:rsidRPr="00AA2474">
        <w:rPr>
          <w:rFonts w:ascii="Times New Roman" w:hAnsi="Times New Roman" w:cs="Times New Roman"/>
          <w:sz w:val="24"/>
          <w:szCs w:val="24"/>
        </w:rPr>
        <w:t>.  The Working Group reviewed the draft agenda</w:t>
      </w:r>
      <w:r w:rsidR="00C7787F" w:rsidRPr="00AA2474">
        <w:rPr>
          <w:rFonts w:ascii="Times New Roman" w:hAnsi="Times New Roman" w:cs="Times New Roman"/>
          <w:sz w:val="24"/>
          <w:szCs w:val="24"/>
        </w:rPr>
        <w:t xml:space="preserve"> for 9/8</w:t>
      </w:r>
      <w:r w:rsidRPr="00AA2474">
        <w:rPr>
          <w:rFonts w:ascii="Times New Roman" w:hAnsi="Times New Roman" w:cs="Times New Roman"/>
          <w:sz w:val="24"/>
          <w:szCs w:val="24"/>
        </w:rPr>
        <w:t>/2017. There were no changes to the draft agenda.</w:t>
      </w:r>
    </w:p>
    <w:p w14:paraId="25D601C6" w14:textId="77777777" w:rsidR="008A1B57" w:rsidRPr="00AA2474" w:rsidRDefault="008A1B57" w:rsidP="00BB53D1">
      <w:pPr>
        <w:spacing w:after="0"/>
        <w:rPr>
          <w:rFonts w:ascii="Times New Roman" w:hAnsi="Times New Roman" w:cs="Times New Roman"/>
          <w:sz w:val="24"/>
          <w:szCs w:val="24"/>
        </w:rPr>
      </w:pPr>
    </w:p>
    <w:p w14:paraId="0C136ADE" w14:textId="712E755D" w:rsidR="002718C3" w:rsidRPr="00AA2474" w:rsidRDefault="00D54A2B" w:rsidP="0088789F">
      <w:pPr>
        <w:pStyle w:val="ListParagraph"/>
        <w:numPr>
          <w:ilvl w:val="0"/>
          <w:numId w:val="15"/>
        </w:numPr>
        <w:spacing w:after="0"/>
        <w:ind w:left="360"/>
        <w:rPr>
          <w:rFonts w:ascii="Times New Roman" w:hAnsi="Times New Roman" w:cs="Times New Roman"/>
          <w:sz w:val="24"/>
          <w:szCs w:val="24"/>
          <w:u w:val="single"/>
        </w:rPr>
      </w:pPr>
      <w:r w:rsidRPr="00AA2474">
        <w:rPr>
          <w:rFonts w:ascii="Times New Roman" w:hAnsi="Times New Roman" w:cs="Times New Roman"/>
          <w:sz w:val="24"/>
          <w:szCs w:val="24"/>
          <w:u w:val="single"/>
        </w:rPr>
        <w:t xml:space="preserve">Review </w:t>
      </w:r>
      <w:r w:rsidR="002718C3" w:rsidRPr="00AA2474">
        <w:rPr>
          <w:rFonts w:ascii="Times New Roman" w:hAnsi="Times New Roman" w:cs="Times New Roman"/>
          <w:sz w:val="24"/>
          <w:szCs w:val="24"/>
          <w:u w:val="single"/>
        </w:rPr>
        <w:t>Statutory Mandate, 2017 Act 73 § 26</w:t>
      </w:r>
      <w:r w:rsidR="0088789F" w:rsidRPr="00AA2474">
        <w:rPr>
          <w:rFonts w:ascii="Times New Roman" w:hAnsi="Times New Roman" w:cs="Times New Roman"/>
          <w:sz w:val="24"/>
          <w:szCs w:val="24"/>
        </w:rPr>
        <w:t xml:space="preserve">. Secretary Moore reviewed the group’s statutory mandate in Act 73, section 26.  </w:t>
      </w:r>
      <w:hyperlink r:id="rId8" w:tgtFrame="_blank" w:history="1">
        <w:r w:rsidR="0088789F" w:rsidRPr="00AA2474">
          <w:rPr>
            <w:rStyle w:val="Hyperlink"/>
            <w:rFonts w:ascii="Times New Roman" w:hAnsi="Times New Roman" w:cs="Times New Roman"/>
            <w:sz w:val="24"/>
            <w:szCs w:val="24"/>
            <w:lang w:val="en"/>
          </w:rPr>
          <w:t xml:space="preserve">Click here </w:t>
        </w:r>
      </w:hyperlink>
      <w:r w:rsidR="0088789F" w:rsidRPr="00AA2474">
        <w:rPr>
          <w:rFonts w:ascii="Times New Roman" w:hAnsi="Times New Roman" w:cs="Times New Roman"/>
          <w:sz w:val="24"/>
          <w:szCs w:val="24"/>
          <w:lang w:val="en"/>
        </w:rPr>
        <w:t xml:space="preserve">for the meeting presentation.  The working group met five times over the summer (June 28, July 14, July 28, August 11, August 25).  The group focused on reviewing and updating the cost estimates for clean water implementation in the Treasurer’s Report, reviewing existing revenue sources for clean water projects, and exploring new revenue sources.  </w:t>
      </w:r>
    </w:p>
    <w:p w14:paraId="6AF61662" w14:textId="7982D2D6" w:rsidR="00BA7046" w:rsidRPr="00AA2474" w:rsidRDefault="00BA7046" w:rsidP="00BA7046">
      <w:pPr>
        <w:pStyle w:val="ListParagraph"/>
        <w:rPr>
          <w:rFonts w:ascii="Times New Roman" w:hAnsi="Times New Roman" w:cs="Times New Roman"/>
          <w:sz w:val="24"/>
          <w:szCs w:val="24"/>
          <w:u w:val="single"/>
        </w:rPr>
      </w:pPr>
    </w:p>
    <w:p w14:paraId="7CFA24F9" w14:textId="1E5961A1" w:rsidR="00BA7046" w:rsidRPr="00AA2474" w:rsidRDefault="00BA7046" w:rsidP="00BA7046">
      <w:pPr>
        <w:spacing w:after="0"/>
        <w:rPr>
          <w:rFonts w:ascii="Times New Roman" w:hAnsi="Times New Roman" w:cs="Times New Roman"/>
          <w:sz w:val="24"/>
          <w:szCs w:val="24"/>
          <w:u w:val="single"/>
        </w:rPr>
      </w:pPr>
      <w:r w:rsidRPr="00AA2474">
        <w:rPr>
          <w:rFonts w:ascii="Times New Roman" w:hAnsi="Times New Roman" w:cs="Times New Roman"/>
          <w:noProof/>
          <w:sz w:val="24"/>
          <w:szCs w:val="24"/>
        </w:rPr>
        <w:drawing>
          <wp:anchor distT="0" distB="0" distL="114300" distR="114300" simplePos="0" relativeHeight="251658240" behindDoc="0" locked="0" layoutInCell="1" allowOverlap="1" wp14:anchorId="586814A7" wp14:editId="3DB4337F">
            <wp:simplePos x="0" y="0"/>
            <wp:positionH relativeFrom="column">
              <wp:posOffset>1316554</wp:posOffset>
            </wp:positionH>
            <wp:positionV relativeFrom="paragraph">
              <wp:posOffset>172274</wp:posOffset>
            </wp:positionV>
            <wp:extent cx="3577590" cy="1845945"/>
            <wp:effectExtent l="0" t="0" r="3810" b="1905"/>
            <wp:wrapTopAndBottom/>
            <wp:docPr id="1" name="Picture 1" descr="Machine generated alternative text:&#10;Task &#10;30 &#10;25 &#10;20 &#10;15 &#10;10 &#10;5 &#10;Municipal Wastewater Control &#10;Revievv &#10;costs &#10;FY20 Projected Costs &#10;Private Developed Lands &#10;Stormwater Control &#10;Private &#10;Agriculture Pollution Control Natural Resources Restoration &#10;Y 20 &#10;Municipal Roads &#10;Runoff/Erosion Control &#10;Municipal Developed Lands State Highways Stormwater &#10;Stormwater Control &#10;Control &#10;Municipal Revenue &#10;State Revenue Federal Reve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Task &#10;30 &#10;25 &#10;20 &#10;15 &#10;10 &#10;5 &#10;Municipal Wastewater Control &#10;Revievv &#10;costs &#10;FY20 Projected Costs &#10;Private Developed Lands &#10;Stormwater Control &#10;Private &#10;Agriculture Pollution Control Natural Resources Restoration &#10;Y 20 &#10;Municipal Roads &#10;Runoff/Erosion Control &#10;Municipal Developed Lands State Highways Stormwater &#10;Stormwater Control &#10;Control &#10;Municipal Revenue &#10;State Revenue Federal Revenue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7759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B75F15" w14:textId="53E89AE0" w:rsidR="00D97F8E" w:rsidRPr="00AA2474" w:rsidRDefault="00D97F8E" w:rsidP="006F5B04">
      <w:pPr>
        <w:pStyle w:val="NormalWeb"/>
        <w:spacing w:before="0" w:beforeAutospacing="0" w:after="0" w:afterAutospacing="0"/>
        <w:rPr>
          <w:color w:val="000000"/>
        </w:rPr>
      </w:pPr>
    </w:p>
    <w:p w14:paraId="1D8A5A25" w14:textId="5FB0FDF4" w:rsidR="006F5B04" w:rsidRPr="00AA2474" w:rsidRDefault="00D97F8E" w:rsidP="00D97F8E">
      <w:pPr>
        <w:tabs>
          <w:tab w:val="left" w:pos="4481"/>
        </w:tabs>
        <w:rPr>
          <w:rFonts w:ascii="Times New Roman" w:hAnsi="Times New Roman" w:cs="Times New Roman"/>
          <w:sz w:val="24"/>
          <w:szCs w:val="24"/>
        </w:rPr>
      </w:pPr>
      <w:r w:rsidRPr="00AA2474">
        <w:rPr>
          <w:rFonts w:ascii="Times New Roman" w:hAnsi="Times New Roman" w:cs="Times New Roman"/>
          <w:sz w:val="24"/>
          <w:szCs w:val="24"/>
        </w:rPr>
        <w:tab/>
      </w:r>
    </w:p>
    <w:p w14:paraId="3CBF0304" w14:textId="68F91639" w:rsidR="006F5B04" w:rsidRPr="00AA2474" w:rsidRDefault="00BA7046" w:rsidP="00BA7046">
      <w:pPr>
        <w:pStyle w:val="NormalWeb"/>
        <w:numPr>
          <w:ilvl w:val="1"/>
          <w:numId w:val="15"/>
        </w:numPr>
        <w:spacing w:before="0" w:beforeAutospacing="0" w:after="0" w:afterAutospacing="0"/>
        <w:rPr>
          <w:color w:val="000000"/>
        </w:rPr>
      </w:pPr>
      <w:r w:rsidRPr="00AA2474">
        <w:rPr>
          <w:color w:val="000000"/>
        </w:rPr>
        <w:t>Costs.  Total projected costs over 20 years has not changed; however, the timing of when costs will occur is being refined.</w:t>
      </w:r>
      <w:r w:rsidR="00F74809" w:rsidRPr="00AA2474">
        <w:rPr>
          <w:color w:val="000000"/>
        </w:rPr>
        <w:t xml:space="preserve"> Some highlights from the summer’s work on costs of clean water implementation:</w:t>
      </w:r>
    </w:p>
    <w:p w14:paraId="63E69DC7" w14:textId="77777777" w:rsidR="006F5B04" w:rsidRPr="00AA2474" w:rsidRDefault="006F5B04" w:rsidP="006F5B04">
      <w:pPr>
        <w:pStyle w:val="NormalWeb"/>
        <w:spacing w:before="0" w:beforeAutospacing="0" w:after="0" w:afterAutospacing="0"/>
        <w:rPr>
          <w:color w:val="000000"/>
        </w:rPr>
      </w:pPr>
    </w:p>
    <w:p w14:paraId="69054197" w14:textId="16653409" w:rsidR="0088789F" w:rsidRPr="00AA2474" w:rsidRDefault="0088789F" w:rsidP="006F5B04">
      <w:pPr>
        <w:pStyle w:val="NormalWeb"/>
        <w:spacing w:before="0" w:beforeAutospacing="0" w:after="0" w:afterAutospacing="0"/>
        <w:ind w:left="810"/>
        <w:rPr>
          <w:color w:val="000000"/>
        </w:rPr>
      </w:pPr>
      <w:r w:rsidRPr="00AA2474">
        <w:rPr>
          <w:color w:val="000000"/>
          <w:u w:val="single"/>
        </w:rPr>
        <w:t>Developed Lands – Roads.</w:t>
      </w:r>
      <w:r w:rsidRPr="00AA2474">
        <w:rPr>
          <w:color w:val="000000"/>
        </w:rPr>
        <w:t xml:space="preserve">  DEC reported that it is in the process of updating the water quality compliance costs for developed lands, and that the estimated costs are likely to go down, for two reasons: (1) The costs in the Treasurer’s Report were based on the draft Lake Champlain TDMLs, not the final Lake Champlain TMDLs.  In particular, the EPA’s estimated acreage of roads that will require treatment dropped significantly between the draft and final versions:  state paved roads from 1,424 to 742 acres; municipal paved roads from 2,703 to 1,408 acres; and municipal unpaved roads from 9,621 to 7,123.  (2) Based on actual cost figures from the last 12 months, the estimated cost of compliance for municipal unpaved roads has been revised from $11,870 per acre to $4,058.  </w:t>
      </w:r>
    </w:p>
    <w:p w14:paraId="09B233DF" w14:textId="77777777" w:rsidR="0088789F" w:rsidRPr="00AA2474" w:rsidRDefault="0088789F" w:rsidP="0088789F">
      <w:pPr>
        <w:pStyle w:val="NormalWeb"/>
        <w:spacing w:before="0" w:beforeAutospacing="0" w:after="0" w:afterAutospacing="0"/>
        <w:ind w:left="540"/>
        <w:rPr>
          <w:color w:val="000000"/>
        </w:rPr>
      </w:pPr>
      <w:r w:rsidRPr="00AA2474">
        <w:rPr>
          <w:color w:val="000000"/>
        </w:rPr>
        <w:t> </w:t>
      </w:r>
    </w:p>
    <w:p w14:paraId="687BFA7A" w14:textId="2A733D4A" w:rsidR="0088789F" w:rsidRPr="00AA2474" w:rsidRDefault="0088789F" w:rsidP="006F5B04">
      <w:pPr>
        <w:pStyle w:val="NormalWeb"/>
        <w:spacing w:before="0" w:beforeAutospacing="0" w:after="0" w:afterAutospacing="0"/>
        <w:ind w:left="720"/>
        <w:rPr>
          <w:color w:val="000000"/>
        </w:rPr>
      </w:pPr>
      <w:r w:rsidRPr="00AA2474">
        <w:rPr>
          <w:color w:val="000000"/>
          <w:u w:val="single"/>
        </w:rPr>
        <w:t xml:space="preserve">Developed Lands – Non </w:t>
      </w:r>
      <w:r w:rsidRPr="00AA2474">
        <w:rPr>
          <w:color w:val="000000"/>
        </w:rPr>
        <w:t>roads.  It was further noted that the final EPA TMDLs estimate that 12,786 acres of non-road impervious surface will need to be treated to comply with water quality standards</w:t>
      </w:r>
      <w:r w:rsidR="006F5B04" w:rsidRPr="00AA2474">
        <w:rPr>
          <w:color w:val="000000"/>
        </w:rPr>
        <w:t>, compared with 12,158 in the draft TMDL</w:t>
      </w:r>
      <w:r w:rsidRPr="00AA2474">
        <w:rPr>
          <w:color w:val="000000"/>
        </w:rPr>
        <w:t>.  Based on an average cost of $30,000 per acre, the total cost of compliance for non-road impervious surface in the Treasurer’s Report was $360 million over 20 years</w:t>
      </w:r>
      <w:r w:rsidR="006F5B04" w:rsidRPr="00AA2474">
        <w:rPr>
          <w:color w:val="000000"/>
        </w:rPr>
        <w:t>; the revised estimate is $380 million</w:t>
      </w:r>
      <w:r w:rsidRPr="00AA2474">
        <w:rPr>
          <w:color w:val="000000"/>
        </w:rPr>
        <w:t xml:space="preserve">.  Of the 12,786 acres, about 5,000 acres will be regulated under the 3-acre permit, and about 7,000 acres are allocated to compensate for “future growth.” </w:t>
      </w:r>
      <w:r w:rsidR="006F5B04" w:rsidRPr="00AA2474">
        <w:rPr>
          <w:color w:val="000000"/>
        </w:rPr>
        <w:t xml:space="preserve">  Private landowners </w:t>
      </w:r>
      <w:r w:rsidR="00BA7046" w:rsidRPr="00AA2474">
        <w:rPr>
          <w:color w:val="000000"/>
        </w:rPr>
        <w:t>are assumed to</w:t>
      </w:r>
      <w:r w:rsidR="006F5B04" w:rsidRPr="00AA2474">
        <w:rPr>
          <w:color w:val="000000"/>
        </w:rPr>
        <w:t xml:space="preserve"> pay 100% of the costs associated with retrofits unless they form public-private partnerships, in which case they could be eligible for up to 50% grants from DEC’s Ecosystem Restoration Program.</w:t>
      </w:r>
    </w:p>
    <w:p w14:paraId="2A01AA15" w14:textId="1CE6ABD1" w:rsidR="006F5B04" w:rsidRPr="00AA2474" w:rsidRDefault="006F5B04" w:rsidP="006F5B04">
      <w:pPr>
        <w:pStyle w:val="NormalWeb"/>
        <w:spacing w:before="0" w:beforeAutospacing="0" w:after="0" w:afterAutospacing="0"/>
        <w:ind w:left="720"/>
        <w:rPr>
          <w:color w:val="000000"/>
        </w:rPr>
      </w:pPr>
    </w:p>
    <w:p w14:paraId="585A2FA4" w14:textId="70A4F4F5" w:rsidR="006F5B04" w:rsidRPr="00AA2474" w:rsidRDefault="006F5B04" w:rsidP="006F5B04">
      <w:pPr>
        <w:pStyle w:val="NormalWeb"/>
        <w:spacing w:before="0" w:beforeAutospacing="0" w:after="0" w:afterAutospacing="0"/>
        <w:ind w:left="720"/>
        <w:rPr>
          <w:color w:val="000000"/>
        </w:rPr>
      </w:pPr>
      <w:r w:rsidRPr="00AA2474">
        <w:rPr>
          <w:color w:val="000000"/>
          <w:u w:val="single"/>
        </w:rPr>
        <w:t>Agriculture</w:t>
      </w:r>
      <w:r w:rsidR="00BA7046" w:rsidRPr="00AA2474">
        <w:rPr>
          <w:color w:val="000000"/>
        </w:rPr>
        <w:t>.  Assuming no change to the proposed implementation schedule, there is a $15 million gap in funding for agriculture.  ANR and AAFM hope to provide some pathways forward by mid-October.</w:t>
      </w:r>
    </w:p>
    <w:p w14:paraId="523620A0" w14:textId="793EF65C" w:rsidR="002718C3" w:rsidRPr="00AA2474" w:rsidRDefault="002718C3" w:rsidP="002718C3">
      <w:pPr>
        <w:spacing w:after="0"/>
        <w:rPr>
          <w:rFonts w:ascii="Times New Roman" w:hAnsi="Times New Roman" w:cs="Times New Roman"/>
          <w:sz w:val="24"/>
          <w:szCs w:val="24"/>
        </w:rPr>
      </w:pPr>
    </w:p>
    <w:p w14:paraId="5DDA477C" w14:textId="70B77FC1" w:rsidR="00BA7046" w:rsidRPr="00AA2474" w:rsidRDefault="00BA7046" w:rsidP="002718C3">
      <w:pPr>
        <w:spacing w:after="0"/>
        <w:rPr>
          <w:rFonts w:ascii="Times New Roman" w:hAnsi="Times New Roman" w:cs="Times New Roman"/>
          <w:sz w:val="24"/>
          <w:szCs w:val="24"/>
        </w:rPr>
      </w:pPr>
      <w:r w:rsidRPr="00AA2474">
        <w:rPr>
          <w:rFonts w:ascii="Times New Roman" w:hAnsi="Times New Roman" w:cs="Times New Roman"/>
          <w:sz w:val="24"/>
          <w:szCs w:val="24"/>
        </w:rPr>
        <w:tab/>
      </w:r>
    </w:p>
    <w:p w14:paraId="5D1ECAA2" w14:textId="2B864567" w:rsidR="00BA7046" w:rsidRPr="00AA2474" w:rsidRDefault="00BA7046" w:rsidP="00BA7046">
      <w:pPr>
        <w:spacing w:after="0" w:line="240" w:lineRule="auto"/>
        <w:ind w:left="360"/>
        <w:textAlignment w:val="center"/>
        <w:rPr>
          <w:rFonts w:ascii="Times New Roman" w:hAnsi="Times New Roman" w:cs="Times New Roman"/>
          <w:sz w:val="24"/>
          <w:szCs w:val="24"/>
        </w:rPr>
      </w:pPr>
      <w:r w:rsidRPr="00AA2474">
        <w:rPr>
          <w:rFonts w:ascii="Times New Roman" w:hAnsi="Times New Roman" w:cs="Times New Roman"/>
          <w:sz w:val="24"/>
          <w:szCs w:val="24"/>
        </w:rPr>
        <w:t>The group discussed the advantages of front-loading costs, and how to encourage early spending.  It was explained that the current spending curve is tied to the various permitting programs coming online.</w:t>
      </w:r>
    </w:p>
    <w:p w14:paraId="536E1912" w14:textId="26285DF0" w:rsidR="00BA7046" w:rsidRPr="00AA2474" w:rsidRDefault="00BA7046" w:rsidP="00BA7046">
      <w:pPr>
        <w:spacing w:after="0" w:line="240" w:lineRule="auto"/>
        <w:ind w:left="360"/>
        <w:textAlignment w:val="center"/>
        <w:rPr>
          <w:rFonts w:ascii="Times New Roman" w:hAnsi="Times New Roman" w:cs="Times New Roman"/>
          <w:sz w:val="24"/>
          <w:szCs w:val="24"/>
        </w:rPr>
      </w:pPr>
      <w:r w:rsidRPr="00AA2474">
        <w:rPr>
          <w:rFonts w:ascii="Times New Roman" w:hAnsi="Times New Roman" w:cs="Times New Roman"/>
          <w:noProof/>
          <w:sz w:val="24"/>
          <w:szCs w:val="24"/>
        </w:rPr>
        <w:drawing>
          <wp:anchor distT="0" distB="0" distL="114300" distR="114300" simplePos="0" relativeHeight="251659264" behindDoc="0" locked="0" layoutInCell="1" allowOverlap="1" wp14:anchorId="79674CBE" wp14:editId="4F87DF13">
            <wp:simplePos x="0" y="0"/>
            <wp:positionH relativeFrom="column">
              <wp:posOffset>1733028</wp:posOffset>
            </wp:positionH>
            <wp:positionV relativeFrom="paragraph">
              <wp:posOffset>233500</wp:posOffset>
            </wp:positionV>
            <wp:extent cx="3336878" cy="2246648"/>
            <wp:effectExtent l="0" t="0" r="0" b="1270"/>
            <wp:wrapTopAndBottom/>
            <wp:docPr id="2" name="Picture 2" descr="Machine generated alternative text:&#10;Hypothetical Phosphorus Reduction Curve &#10;2016 &#10;2017 &#10;2019 &#10;2Q1 &#10;2Q2 &#10;2Q3 &#10;2Q4 &#10;2QS &#10;2Q6 &#10;2127 &#10;201 &#10;2032 &#10;2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Hypothetical Phosphorus Reduction Curve &#10;2016 &#10;2017 &#10;2019 &#10;2Q1 &#10;2Q2 &#10;2Q3 &#10;2Q4 &#10;2QS &#10;2Q6 &#10;2127 &#10;201 &#10;2032 &#10;203 "/>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36878" cy="2246648"/>
                    </a:xfrm>
                    <a:prstGeom prst="rect">
                      <a:avLst/>
                    </a:prstGeom>
                    <a:noFill/>
                    <a:ln>
                      <a:noFill/>
                    </a:ln>
                  </pic:spPr>
                </pic:pic>
              </a:graphicData>
            </a:graphic>
          </wp:anchor>
        </w:drawing>
      </w:r>
    </w:p>
    <w:p w14:paraId="32FC2F0B" w14:textId="0F074D2D" w:rsidR="00BA7046" w:rsidRPr="00AA2474" w:rsidRDefault="00BA7046" w:rsidP="00BA7046">
      <w:pPr>
        <w:spacing w:after="0" w:line="240" w:lineRule="auto"/>
        <w:ind w:left="360"/>
        <w:textAlignment w:val="center"/>
        <w:rPr>
          <w:rFonts w:ascii="Times New Roman" w:hAnsi="Times New Roman" w:cs="Times New Roman"/>
          <w:sz w:val="24"/>
          <w:szCs w:val="24"/>
        </w:rPr>
      </w:pPr>
    </w:p>
    <w:p w14:paraId="4AACFD7B" w14:textId="6603263E" w:rsidR="00BA7046" w:rsidRPr="00AA2474" w:rsidRDefault="00BA7046" w:rsidP="002718C3">
      <w:pPr>
        <w:spacing w:after="0"/>
        <w:rPr>
          <w:rFonts w:ascii="Times New Roman" w:hAnsi="Times New Roman" w:cs="Times New Roman"/>
          <w:sz w:val="24"/>
          <w:szCs w:val="24"/>
        </w:rPr>
      </w:pPr>
    </w:p>
    <w:p w14:paraId="71BB8202" w14:textId="36D685C3" w:rsidR="00BA7046" w:rsidRPr="00AA2474" w:rsidRDefault="00BA7046" w:rsidP="002718C3">
      <w:pPr>
        <w:spacing w:after="0"/>
        <w:rPr>
          <w:rFonts w:ascii="Times New Roman" w:hAnsi="Times New Roman" w:cs="Times New Roman"/>
          <w:sz w:val="24"/>
          <w:szCs w:val="24"/>
        </w:rPr>
      </w:pPr>
    </w:p>
    <w:p w14:paraId="46D0CFE7" w14:textId="7BBB3A4E" w:rsidR="00D97F8E" w:rsidRPr="00AA2474" w:rsidRDefault="00F74809" w:rsidP="00BA7046">
      <w:pPr>
        <w:pStyle w:val="ListParagraph"/>
        <w:numPr>
          <w:ilvl w:val="1"/>
          <w:numId w:val="15"/>
        </w:numPr>
        <w:spacing w:after="0"/>
        <w:rPr>
          <w:rFonts w:ascii="Times New Roman" w:hAnsi="Times New Roman" w:cs="Times New Roman"/>
          <w:sz w:val="24"/>
          <w:szCs w:val="24"/>
        </w:rPr>
      </w:pPr>
      <w:r w:rsidRPr="00AA2474">
        <w:rPr>
          <w:rFonts w:ascii="Times New Roman" w:hAnsi="Times New Roman" w:cs="Times New Roman"/>
          <w:noProof/>
          <w:sz w:val="24"/>
          <w:szCs w:val="24"/>
        </w:rPr>
        <w:drawing>
          <wp:anchor distT="0" distB="0" distL="114300" distR="114300" simplePos="0" relativeHeight="251660288" behindDoc="0" locked="0" layoutInCell="1" allowOverlap="1" wp14:anchorId="725CC1F5" wp14:editId="067B36E1">
            <wp:simplePos x="0" y="0"/>
            <wp:positionH relativeFrom="column">
              <wp:posOffset>1098900</wp:posOffset>
            </wp:positionH>
            <wp:positionV relativeFrom="paragraph">
              <wp:posOffset>649605</wp:posOffset>
            </wp:positionV>
            <wp:extent cx="4973648" cy="2652490"/>
            <wp:effectExtent l="0" t="0" r="0" b="0"/>
            <wp:wrapTopAndBottom/>
            <wp:docPr id="3" name="Picture 3" descr="Machine generated alternative text:&#10;FY18-19 VERMONT CLEAN WATER APPROPRIATIONS &#10;c &#10;D &#10;Task &#10;Review existing &#10;revenue sources &#10;1 Capital Bill, H.519 Section 11: Clean Water Investments &#10;Baseline &#10;(2 year total) &#10;3,800.000 &#10;2.400.000 &#10;7,460.000 &#10;3S.oco &#10;3,306.sco &#10;3,750.000 &#10;s 20,752.500 &#10;$ 2,200.000 &#10;$ 2,880.000 &#10;$ 21,360.000 &#10;70.000 &#10;300.000 &#10;594.000 &#10;750.000 &#10;As Passed House &amp; Senate (S/S/2017) &#10;Filling Gap: D.A &#10;(2 year total) &#10;600.000 &#10;1,000.000 &#10;6,000.000 &#10;2,982.384 &#10;2,704.232 &#10;2800.000 &#10;1,000.000 &#10;2,200.000 &#10;1,240.000 &#10;s ,442.342 &#10;17,022.342 &#10;35,000 &#10;150,000 &#10;297,000 &#10;375.000 &#10;4,000.000 &#10;FY19 &#10;2,000,000 &#10;1,200.000 &#10;5,242.342 &#10;35,000 &#10;150,000 &#10;297,000 &#10;375,000 &#10;4,000.000 &#10;FY18 &amp; FY19 &#10;5,450,000 &#10;600.000 &#10;2.200n &#10;11,000.000 &#10;2,982.384 &#10;5,550.000 &#10;1, 000.000 &#10;4,400.000 &#10;3,080.000 &#10;34, 444, 684 &#10;70,000 &#10;300,000 &#10;594,000 &#10;750.000 &#10;8,000.000 &#10;S &#10;s &#10;1,650,000 &#10;600.000 &#10;(200.000) &#10;3,540.000 &#10;805,000 &#10;1.800,000 &#10;2,200poo &#10;10,684.684 • &#10;13,084.684 &#10;8.000.000 &#10;48,000,000 &#10;2 &#10;3 &#10;4 &#10;6 &#10;7 &#10;8 &#10;9 &#10;10 &#10;11 &#10;12 &#10;13 &#10;&amp; (e AAFM BMP &amp; CREP &#10;(a)12) AAFM Water Quality Grants &amp; Contracts &#10;DEC Clean Water State Revolving Fund (SRF) &#10;DEC Ecosystem Restoration Grants &#10;DEC Municipal Pollution Control Grants (prior) &#10;DEC Municipal Pollution control Grants (new) &#10;(e) VTrans Municipal Mitigation Program &#10;VHCB: water quality projects &#10;(d &quot;2) VHCB: farm grants or fee purchase water quality projects &#10;FY19 Statewide Clean Water Implementation &#10;14 Bill H .494 &#10;IS State Highway Compliance &#10;16 Section 14: Transportation Alternatives (for stormwater) &#10;17 Section 8: Municipal Mitigation (for stormwater) &#10;IS Section S: Municipal Mitigation from Federal Hgwy STEG Fund &#10;19 &#10;20 &#10;21 Appropriations Bill &#10;22 &#10;23 &#10;24 &#10;25 &#10;26 &#10;DEC Federal match pass through for DEC Clean Water SRF &#10;OF&amp;W Watershed Grants Program &#10;AAFM Farm Agronomic Practices Program &#10;AAFM Water Quality Grants and Contracts &#10;AAFM Operational Funds &#10;27 Clean Water Fund &#10;28 FY19 Capital Bal: Bond premium from sale Of bonds &#10;29 &#10;30 GRAND TOTAL &#10;• Rows 15-18, 22-26, 28: Appropriations for FM 19 are projected &#10;Vermont's baseline annual spending on clean water projects is close to $32 million, including more than $15 million in federal funds. &#10;In FY18, Vermont has appropriated $54 millon for clean water projects (state and federal funds). &#10;In FY19, Vermont is projected to spend $58 million on clean water efforts (state and federal funds). &#10;Over 2 years, this represents an increase of $48 million over baseline spending. or $24 million average annual increase (state and feder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FY18-19 VERMONT CLEAN WATER APPROPRIATIONS &#10;c &#10;D &#10;Task &#10;Review existing &#10;revenue sources &#10;1 Capital Bill, H.519 Section 11: Clean Water Investments &#10;Baseline &#10;(2 year total) &#10;3,800.000 &#10;2.400.000 &#10;7,460.000 &#10;3S.oco &#10;3,306.sco &#10;3,750.000 &#10;s 20,752.500 &#10;$ 2,200.000 &#10;$ 2,880.000 &#10;$ 21,360.000 &#10;70.000 &#10;300.000 &#10;594.000 &#10;750.000 &#10;As Passed House &amp; Senate (S/S/2017) &#10;Filling Gap: D.A &#10;(2 year total) &#10;600.000 &#10;1,000.000 &#10;6,000.000 &#10;2,982.384 &#10;2,704.232 &#10;2800.000 &#10;1,000.000 &#10;2,200.000 &#10;1,240.000 &#10;s ,442.342 &#10;17,022.342 &#10;35,000 &#10;150,000 &#10;297,000 &#10;375.000 &#10;4,000.000 &#10;FY19 &#10;2,000,000 &#10;1,200.000 &#10;5,242.342 &#10;35,000 &#10;150,000 &#10;297,000 &#10;375,000 &#10;4,000.000 &#10;FY18 &amp; FY19 &#10;5,450,000 &#10;600.000 &#10;2.200n &#10;11,000.000 &#10;2,982.384 &#10;5,550.000 &#10;1, 000.000 &#10;4,400.000 &#10;3,080.000 &#10;34, 444, 684 &#10;70,000 &#10;300,000 &#10;594,000 &#10;750.000 &#10;8,000.000 &#10;S &#10;s &#10;1,650,000 &#10;600.000 &#10;(200.000) &#10;3,540.000 &#10;805,000 &#10;1.800,000 &#10;2,200poo &#10;10,684.684 • &#10;13,084.684 &#10;8.000.000 &#10;48,000,000 &#10;2 &#10;3 &#10;4 &#10;6 &#10;7 &#10;8 &#10;9 &#10;10 &#10;11 &#10;12 &#10;13 &#10;&amp; (e AAFM BMP &amp; CREP &#10;(a)12) AAFM Water Quality Grants &amp; Contracts &#10;DEC Clean Water State Revolving Fund (SRF) &#10;DEC Ecosystem Restoration Grants &#10;DEC Municipal Pollution Control Grants (prior) &#10;DEC Municipal Pollution control Grants (new) &#10;(e) VTrans Municipal Mitigation Program &#10;VHCB: water quality projects &#10;(d &quot;2) VHCB: farm grants or fee purchase water quality projects &#10;FY19 Statewide Clean Water Implementation &#10;14 Bill H .494 &#10;IS State Highway Compliance &#10;16 Section 14: Transportation Alternatives (for stormwater) &#10;17 Section 8: Municipal Mitigation (for stormwater) &#10;IS Section S: Municipal Mitigation from Federal Hgwy STEG Fund &#10;19 &#10;20 &#10;21 Appropriations Bill &#10;22 &#10;23 &#10;24 &#10;25 &#10;26 &#10;DEC Federal match pass through for DEC Clean Water SRF &#10;OF&amp;W Watershed Grants Program &#10;AAFM Farm Agronomic Practices Program &#10;AAFM Water Quality Grants and Contracts &#10;AAFM Operational Funds &#10;27 Clean Water Fund &#10;28 FY19 Capital Bal: Bond premium from sale Of bonds &#10;29 &#10;30 GRAND TOTAL &#10;• Rows 15-18, 22-26, 28: Appropriations for FM 19 are projected &#10;Vermont's baseline annual spending on clean water projects is close to $32 million, including more than $15 million in federal funds. &#10;In FY18, Vermont has appropriated $54 millon for clean water projects (state and federal funds). &#10;In FY19, Vermont is projected to spend $58 million on clean water efforts (state and federal funds). &#10;Over 2 years, this represents an increase of $48 million over baseline spending. or $24 million average annual increase (state and federal funds). "/>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973648" cy="265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46" w:rsidRPr="00AA2474">
        <w:rPr>
          <w:rFonts w:ascii="Times New Roman" w:hAnsi="Times New Roman" w:cs="Times New Roman"/>
          <w:sz w:val="24"/>
          <w:szCs w:val="24"/>
        </w:rPr>
        <w:t>Existing Sources of Funding.</w:t>
      </w:r>
      <w:r w:rsidR="00D97F8E" w:rsidRPr="00AA2474">
        <w:rPr>
          <w:rFonts w:ascii="Times New Roman" w:hAnsi="Times New Roman" w:cs="Times New Roman"/>
          <w:sz w:val="24"/>
          <w:szCs w:val="24"/>
        </w:rPr>
        <w:t xml:space="preserve">  The Group discussed the existing sources of funding in the FY18-19 budget, which include the Capital Bill, the Transportation Bill, the Clean Water Fund, and some smaller appropriations in the Big Bill.  Future revenue sources may include:</w:t>
      </w:r>
    </w:p>
    <w:p w14:paraId="0656D800" w14:textId="140019F7" w:rsidR="00D97F8E" w:rsidRPr="00AA2474" w:rsidRDefault="00D97F8E" w:rsidP="00D97F8E">
      <w:pPr>
        <w:pStyle w:val="ListParagraph"/>
        <w:spacing w:after="0"/>
        <w:ind w:left="810"/>
        <w:rPr>
          <w:rFonts w:ascii="Times New Roman" w:hAnsi="Times New Roman" w:cs="Times New Roman"/>
          <w:sz w:val="24"/>
          <w:szCs w:val="24"/>
        </w:rPr>
      </w:pPr>
    </w:p>
    <w:p w14:paraId="1EFC5E1B" w14:textId="6462BBD0" w:rsidR="00BA7046" w:rsidRPr="00AA2474" w:rsidRDefault="00D97F8E" w:rsidP="00D97F8E">
      <w:pPr>
        <w:pStyle w:val="ListParagraph"/>
        <w:numPr>
          <w:ilvl w:val="2"/>
          <w:numId w:val="15"/>
        </w:numPr>
        <w:spacing w:after="0"/>
        <w:ind w:left="1440"/>
        <w:rPr>
          <w:rFonts w:ascii="Times New Roman" w:hAnsi="Times New Roman" w:cs="Times New Roman"/>
          <w:sz w:val="24"/>
          <w:szCs w:val="24"/>
        </w:rPr>
      </w:pPr>
      <w:r w:rsidRPr="00AA2474">
        <w:rPr>
          <w:rFonts w:ascii="Times New Roman" w:hAnsi="Times New Roman" w:cs="Times New Roman"/>
          <w:sz w:val="24"/>
          <w:szCs w:val="24"/>
        </w:rPr>
        <w:t>The property transfer tax surcharge</w:t>
      </w:r>
      <w:r w:rsidR="00F74809" w:rsidRPr="00AA2474">
        <w:rPr>
          <w:rFonts w:ascii="Times New Roman" w:hAnsi="Times New Roman" w:cs="Times New Roman"/>
          <w:sz w:val="24"/>
          <w:szCs w:val="24"/>
        </w:rPr>
        <w:t xml:space="preserve"> </w:t>
      </w:r>
      <w:r w:rsidRPr="00AA2474">
        <w:rPr>
          <w:rFonts w:ascii="Times New Roman" w:hAnsi="Times New Roman" w:cs="Times New Roman"/>
          <w:sz w:val="24"/>
          <w:szCs w:val="24"/>
        </w:rPr>
        <w:t xml:space="preserve">is expected to provide $4 million a year to the Clean Water Fund through 2028. </w:t>
      </w:r>
    </w:p>
    <w:p w14:paraId="2236F8C3" w14:textId="36B08E24" w:rsidR="00F74809" w:rsidRPr="00AA2474" w:rsidRDefault="00F74809" w:rsidP="00D97F8E">
      <w:pPr>
        <w:pStyle w:val="ListParagraph"/>
        <w:numPr>
          <w:ilvl w:val="2"/>
          <w:numId w:val="15"/>
        </w:numPr>
        <w:spacing w:after="0"/>
        <w:ind w:left="1440"/>
        <w:rPr>
          <w:rFonts w:ascii="Times New Roman" w:hAnsi="Times New Roman" w:cs="Times New Roman"/>
          <w:sz w:val="24"/>
          <w:szCs w:val="24"/>
        </w:rPr>
      </w:pPr>
      <w:r w:rsidRPr="00AA2474">
        <w:rPr>
          <w:rFonts w:ascii="Times New Roman" w:hAnsi="Times New Roman" w:cs="Times New Roman"/>
          <w:sz w:val="24"/>
          <w:szCs w:val="24"/>
        </w:rPr>
        <w:t>The Treasurer noted that the recent bond issuance resulted in $10.9 million of bond premium.</w:t>
      </w:r>
    </w:p>
    <w:p w14:paraId="38E1537A" w14:textId="12B9C222" w:rsidR="00D97F8E" w:rsidRPr="00AA2474" w:rsidRDefault="00D97F8E" w:rsidP="00D97F8E">
      <w:pPr>
        <w:pStyle w:val="ListParagraph"/>
        <w:numPr>
          <w:ilvl w:val="2"/>
          <w:numId w:val="15"/>
        </w:numPr>
        <w:spacing w:after="0"/>
        <w:ind w:left="1440"/>
        <w:rPr>
          <w:rFonts w:ascii="Times New Roman" w:hAnsi="Times New Roman" w:cs="Times New Roman"/>
          <w:sz w:val="24"/>
          <w:szCs w:val="24"/>
        </w:rPr>
      </w:pPr>
      <w:r w:rsidRPr="00AA2474">
        <w:rPr>
          <w:rFonts w:ascii="Times New Roman" w:hAnsi="Times New Roman" w:cs="Times New Roman"/>
          <w:sz w:val="24"/>
          <w:szCs w:val="24"/>
        </w:rPr>
        <w:t xml:space="preserve">Annual payments by TDI of $5 million year for 39 years, if the project is built.  </w:t>
      </w:r>
      <w:r w:rsidR="00FC316A">
        <w:rPr>
          <w:rFonts w:ascii="Times New Roman" w:hAnsi="Times New Roman" w:cs="Times New Roman"/>
          <w:sz w:val="24"/>
          <w:szCs w:val="24"/>
        </w:rPr>
        <w:t>The Certificate of Public Goo</w:t>
      </w:r>
      <w:r w:rsidR="00F74809" w:rsidRPr="00AA2474">
        <w:rPr>
          <w:rFonts w:ascii="Times New Roman" w:hAnsi="Times New Roman" w:cs="Times New Roman"/>
          <w:sz w:val="24"/>
          <w:szCs w:val="24"/>
        </w:rPr>
        <w:t xml:space="preserve">d incorporates the following terms:  </w:t>
      </w:r>
    </w:p>
    <w:p w14:paraId="0488804B" w14:textId="490CFAD1" w:rsidR="00F74809" w:rsidRPr="00AA2474" w:rsidRDefault="00F74809" w:rsidP="00F74809">
      <w:pPr>
        <w:pStyle w:val="ListParagraph"/>
        <w:numPr>
          <w:ilvl w:val="2"/>
          <w:numId w:val="15"/>
        </w:numPr>
        <w:overflowPunct w:val="0"/>
        <w:autoSpaceDE w:val="0"/>
        <w:autoSpaceDN w:val="0"/>
        <w:spacing w:after="0" w:line="276" w:lineRule="auto"/>
        <w:ind w:right="114"/>
        <w:rPr>
          <w:rFonts w:ascii="Times New Roman" w:hAnsi="Times New Roman" w:cs="Times New Roman"/>
          <w:color w:val="000000"/>
          <w:sz w:val="24"/>
          <w:szCs w:val="24"/>
        </w:rPr>
      </w:pPr>
      <w:r w:rsidRPr="00AA2474">
        <w:rPr>
          <w:rFonts w:ascii="Times New Roman" w:hAnsi="Times New Roman" w:cs="Times New Roman"/>
          <w:color w:val="111111"/>
          <w:sz w:val="24"/>
          <w:szCs w:val="24"/>
        </w:rPr>
        <w:t>TDI-NE</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agrees</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to</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deposit:</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(i)</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$1</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million</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on</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fiscal</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close</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Project;</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(ii)</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$6</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million</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on</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July</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1</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initial</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year</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commercial</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operations</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Project;</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and</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(iii)</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$5</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million</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on</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July</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1</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each</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year</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thereafter</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for</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39</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years.</w:t>
      </w:r>
    </w:p>
    <w:p w14:paraId="54EB091B" w14:textId="2D5BE891" w:rsidR="00F74809" w:rsidRPr="00AA2474" w:rsidRDefault="00F74809" w:rsidP="00F74809">
      <w:pPr>
        <w:pStyle w:val="ListParagraph"/>
        <w:numPr>
          <w:ilvl w:val="2"/>
          <w:numId w:val="15"/>
        </w:numPr>
        <w:overflowPunct w:val="0"/>
        <w:autoSpaceDE w:val="0"/>
        <w:autoSpaceDN w:val="0"/>
        <w:spacing w:after="0" w:line="276" w:lineRule="auto"/>
        <w:ind w:right="226"/>
        <w:rPr>
          <w:rFonts w:ascii="Times New Roman" w:hAnsi="Times New Roman" w:cs="Times New Roman"/>
          <w:color w:val="000000"/>
          <w:sz w:val="24"/>
          <w:szCs w:val="24"/>
        </w:rPr>
      </w:pPr>
      <w:r w:rsidRPr="00AA2474">
        <w:rPr>
          <w:rFonts w:ascii="Times New Roman" w:hAnsi="Times New Roman" w:cs="Times New Roman"/>
          <w:color w:val="111111"/>
          <w:sz w:val="24"/>
          <w:szCs w:val="24"/>
        </w:rPr>
        <w:t>Funds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shall</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deposited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into</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a</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dedicated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account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Clean</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Water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Fund</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established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pursuant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to</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10</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V.S.A.</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1388.</w:t>
      </w:r>
      <w:r w:rsidRPr="00AA2474">
        <w:rPr>
          <w:rFonts w:ascii="Times New Roman" w:hAnsi="Times New Roman" w:cs="Times New Roman"/>
          <w:color w:val="111111"/>
          <w:spacing w:val="55"/>
          <w:sz w:val="24"/>
          <w:szCs w:val="24"/>
        </w:rPr>
        <w:t xml:space="preserve"> </w:t>
      </w:r>
      <w:r w:rsidRPr="00AA2474">
        <w:rPr>
          <w:rFonts w:ascii="Times New Roman" w:hAnsi="Times New Roman" w:cs="Times New Roman"/>
          <w:color w:val="111111"/>
          <w:sz w:val="24"/>
          <w:szCs w:val="24"/>
        </w:rPr>
        <w:t>Funds</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deposited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into</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this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account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shall</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managed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in</w:t>
      </w:r>
      <w:r w:rsidRPr="00AA2474">
        <w:rPr>
          <w:rFonts w:ascii="Times New Roman" w:hAnsi="Times New Roman" w:cs="Times New Roman"/>
          <w:color w:val="111111"/>
          <w:spacing w:val="-6"/>
          <w:sz w:val="24"/>
          <w:szCs w:val="24"/>
        </w:rPr>
        <w:t xml:space="preserve"> </w:t>
      </w:r>
      <w:r w:rsidRPr="00AA2474">
        <w:rPr>
          <w:rFonts w:ascii="Times New Roman" w:hAnsi="Times New Roman" w:cs="Times New Roman"/>
          <w:color w:val="111111"/>
          <w:sz w:val="24"/>
          <w:szCs w:val="24"/>
        </w:rPr>
        <w:t>accordance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with</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and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used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for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purposes</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established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in</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10</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V.S.A.</w:t>
      </w:r>
      <w:r w:rsidRPr="00AA2474">
        <w:rPr>
          <w:rFonts w:ascii="Times New Roman" w:hAnsi="Times New Roman" w:cs="Times New Roman"/>
          <w:color w:val="111111"/>
          <w:spacing w:val="-6"/>
          <w:sz w:val="24"/>
          <w:szCs w:val="24"/>
        </w:rPr>
        <w:t xml:space="preserve"> </w:t>
      </w:r>
      <w:r w:rsidRPr="00AA2474">
        <w:rPr>
          <w:rFonts w:ascii="Times New Roman" w:hAnsi="Times New Roman" w:cs="Times New Roman"/>
          <w:color w:val="111111"/>
          <w:sz w:val="24"/>
          <w:szCs w:val="24"/>
        </w:rPr>
        <w:t>Chapter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47,</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Subchapter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7</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except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that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use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of</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funds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shall</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limited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to</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Lake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Champlain</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watershed.</w:t>
      </w:r>
    </w:p>
    <w:p w14:paraId="5A5680E8" w14:textId="74170DEA" w:rsidR="00F74809" w:rsidRPr="00AA2474" w:rsidRDefault="00F74809" w:rsidP="00F74809">
      <w:pPr>
        <w:pStyle w:val="ListParagraph"/>
        <w:numPr>
          <w:ilvl w:val="2"/>
          <w:numId w:val="15"/>
        </w:numPr>
        <w:overflowPunct w:val="0"/>
        <w:autoSpaceDE w:val="0"/>
        <w:autoSpaceDN w:val="0"/>
        <w:spacing w:after="0" w:line="276" w:lineRule="auto"/>
        <w:ind w:right="914"/>
        <w:rPr>
          <w:rFonts w:ascii="Times New Roman" w:hAnsi="Times New Roman" w:cs="Times New Roman"/>
          <w:color w:val="000000"/>
          <w:sz w:val="24"/>
          <w:szCs w:val="24"/>
        </w:rPr>
      </w:pPr>
      <w:r w:rsidRPr="00AA2474">
        <w:rPr>
          <w:rFonts w:ascii="Times New Roman" w:hAnsi="Times New Roman" w:cs="Times New Roman"/>
          <w:color w:val="111111"/>
          <w:sz w:val="24"/>
          <w:szCs w:val="24"/>
        </w:rPr>
        <w:t>ANR and TDI-NE may enter an agreement to accelerate payments to the</w:t>
      </w:r>
      <w:r w:rsidRPr="00AA2474">
        <w:rPr>
          <w:rFonts w:ascii="Times New Roman" w:hAnsi="Times New Roman" w:cs="Times New Roman"/>
          <w:color w:val="111111"/>
          <w:spacing w:val="-40"/>
          <w:sz w:val="24"/>
          <w:szCs w:val="24"/>
        </w:rPr>
        <w:t xml:space="preserve"> </w:t>
      </w:r>
      <w:r w:rsidRPr="00AA2474">
        <w:rPr>
          <w:rFonts w:ascii="Times New Roman" w:hAnsi="Times New Roman" w:cs="Times New Roman"/>
          <w:color w:val="111111"/>
          <w:sz w:val="24"/>
          <w:szCs w:val="24"/>
        </w:rPr>
        <w:t>Fund.</w:t>
      </w:r>
    </w:p>
    <w:p w14:paraId="439C3A25" w14:textId="4B79E6B1" w:rsidR="00F74809" w:rsidRPr="00AA2474" w:rsidRDefault="00F74809" w:rsidP="00F74809">
      <w:pPr>
        <w:pStyle w:val="ListParagraph"/>
        <w:numPr>
          <w:ilvl w:val="2"/>
          <w:numId w:val="15"/>
        </w:numPr>
        <w:overflowPunct w:val="0"/>
        <w:autoSpaceDE w:val="0"/>
        <w:autoSpaceDN w:val="0"/>
        <w:spacing w:after="0" w:line="276" w:lineRule="auto"/>
        <w:ind w:right="105"/>
        <w:rPr>
          <w:rFonts w:ascii="Times New Roman" w:hAnsi="Times New Roman" w:cs="Times New Roman"/>
          <w:color w:val="000000"/>
          <w:sz w:val="24"/>
          <w:szCs w:val="24"/>
        </w:rPr>
      </w:pPr>
      <w:r w:rsidRPr="00AA2474">
        <w:rPr>
          <w:rFonts w:ascii="Times New Roman" w:hAnsi="Times New Roman" w:cs="Times New Roman"/>
          <w:color w:val="111111"/>
          <w:sz w:val="24"/>
          <w:szCs w:val="24"/>
        </w:rPr>
        <w:t>If</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monies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required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by</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this</w:t>
      </w:r>
      <w:r w:rsidRPr="00AA2474">
        <w:rPr>
          <w:rFonts w:ascii="Times New Roman" w:hAnsi="Times New Roman" w:cs="Times New Roman"/>
          <w:color w:val="111111"/>
          <w:spacing w:val="-2"/>
          <w:sz w:val="24"/>
          <w:szCs w:val="24"/>
        </w:rPr>
        <w:t xml:space="preserve"> </w:t>
      </w:r>
      <w:r w:rsidRPr="00AA2474">
        <w:rPr>
          <w:rFonts w:ascii="Times New Roman" w:hAnsi="Times New Roman" w:cs="Times New Roman"/>
          <w:color w:val="111111"/>
          <w:sz w:val="24"/>
          <w:szCs w:val="24"/>
        </w:rPr>
        <w:t>Section</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3.a.iii.</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are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used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for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any</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purpose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other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than</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purposes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established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by</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10</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V.S.A.</w:t>
      </w:r>
      <w:r w:rsidRPr="00AA2474">
        <w:rPr>
          <w:rFonts w:ascii="Times New Roman" w:hAnsi="Times New Roman" w:cs="Times New Roman"/>
          <w:color w:val="111111"/>
          <w:spacing w:val="-6"/>
          <w:sz w:val="24"/>
          <w:szCs w:val="24"/>
        </w:rPr>
        <w:t xml:space="preserve"> </w:t>
      </w:r>
      <w:r w:rsidRPr="00AA2474">
        <w:rPr>
          <w:rFonts w:ascii="Times New Roman" w:hAnsi="Times New Roman" w:cs="Times New Roman"/>
          <w:color w:val="111111"/>
          <w:sz w:val="24"/>
          <w:szCs w:val="24"/>
        </w:rPr>
        <w:t>Chapter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47,</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Subchapter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7</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or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as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otherwise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agreed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to</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in</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writing</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by</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the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Parties,</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TDI-NE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shall</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not</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be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required</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to</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make</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additional</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payments</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under</w:t>
      </w:r>
      <w:r w:rsidRPr="00AA2474">
        <w:rPr>
          <w:rFonts w:ascii="Times New Roman" w:hAnsi="Times New Roman" w:cs="Times New Roman"/>
          <w:color w:val="111111"/>
          <w:spacing w:val="-4"/>
          <w:sz w:val="24"/>
          <w:szCs w:val="24"/>
        </w:rPr>
        <w:t xml:space="preserve"> </w:t>
      </w:r>
      <w:r w:rsidRPr="00AA2474">
        <w:rPr>
          <w:rFonts w:ascii="Times New Roman" w:hAnsi="Times New Roman" w:cs="Times New Roman"/>
          <w:color w:val="111111"/>
          <w:sz w:val="24"/>
          <w:szCs w:val="24"/>
        </w:rPr>
        <w:t>this</w:t>
      </w:r>
      <w:r w:rsidRPr="00AA2474">
        <w:rPr>
          <w:rFonts w:ascii="Times New Roman" w:hAnsi="Times New Roman" w:cs="Times New Roman"/>
          <w:color w:val="111111"/>
          <w:spacing w:val="-5"/>
          <w:sz w:val="24"/>
          <w:szCs w:val="24"/>
        </w:rPr>
        <w:t xml:space="preserve"> </w:t>
      </w:r>
      <w:r w:rsidRPr="00AA2474">
        <w:rPr>
          <w:rFonts w:ascii="Times New Roman" w:hAnsi="Times New Roman" w:cs="Times New Roman"/>
          <w:color w:val="111111"/>
          <w:sz w:val="24"/>
          <w:szCs w:val="24"/>
        </w:rPr>
        <w:t>Section</w:t>
      </w:r>
      <w:r w:rsidRPr="00AA2474">
        <w:rPr>
          <w:rFonts w:ascii="Times New Roman" w:hAnsi="Times New Roman" w:cs="Times New Roman"/>
          <w:color w:val="111111"/>
          <w:spacing w:val="-3"/>
          <w:sz w:val="24"/>
          <w:szCs w:val="24"/>
        </w:rPr>
        <w:t xml:space="preserve"> </w:t>
      </w:r>
      <w:r w:rsidRPr="00AA2474">
        <w:rPr>
          <w:rFonts w:ascii="Times New Roman" w:hAnsi="Times New Roman" w:cs="Times New Roman"/>
          <w:color w:val="111111"/>
          <w:sz w:val="24"/>
          <w:szCs w:val="24"/>
        </w:rPr>
        <w:t>3.a.iii.</w:t>
      </w:r>
    </w:p>
    <w:p w14:paraId="75AE83D6" w14:textId="5ED669BF" w:rsidR="00F74809" w:rsidRPr="00AA2474" w:rsidRDefault="00F74809">
      <w:pPr>
        <w:rPr>
          <w:rFonts w:ascii="Times New Roman" w:hAnsi="Times New Roman" w:cs="Times New Roman"/>
          <w:sz w:val="24"/>
          <w:szCs w:val="24"/>
        </w:rPr>
      </w:pPr>
      <w:r w:rsidRPr="00AA2474">
        <w:rPr>
          <w:rFonts w:ascii="Times New Roman" w:hAnsi="Times New Roman" w:cs="Times New Roman"/>
          <w:sz w:val="24"/>
          <w:szCs w:val="24"/>
        </w:rPr>
        <w:br w:type="page"/>
      </w:r>
    </w:p>
    <w:p w14:paraId="62A3B168" w14:textId="77777777" w:rsidR="00F74809" w:rsidRPr="00AA2474" w:rsidRDefault="00F74809" w:rsidP="00F74809">
      <w:pPr>
        <w:pStyle w:val="ListParagraph"/>
        <w:spacing w:after="0"/>
        <w:ind w:left="810"/>
        <w:rPr>
          <w:rFonts w:ascii="Times New Roman" w:hAnsi="Times New Roman" w:cs="Times New Roman"/>
          <w:sz w:val="24"/>
          <w:szCs w:val="24"/>
        </w:rPr>
      </w:pPr>
    </w:p>
    <w:p w14:paraId="626F739D" w14:textId="6B81F388" w:rsidR="00BA7046" w:rsidRPr="00AA2474" w:rsidRDefault="00F74809" w:rsidP="00F74809">
      <w:pPr>
        <w:pStyle w:val="ListParagraph"/>
        <w:numPr>
          <w:ilvl w:val="1"/>
          <w:numId w:val="15"/>
        </w:numPr>
        <w:spacing w:after="0"/>
        <w:rPr>
          <w:rFonts w:ascii="Times New Roman" w:hAnsi="Times New Roman" w:cs="Times New Roman"/>
          <w:sz w:val="24"/>
          <w:szCs w:val="24"/>
        </w:rPr>
      </w:pPr>
      <w:r w:rsidRPr="00AA2474">
        <w:rPr>
          <w:rFonts w:ascii="Times New Roman" w:hAnsi="Times New Roman" w:cs="Times New Roman"/>
          <w:sz w:val="24"/>
          <w:szCs w:val="24"/>
        </w:rPr>
        <w:t>New Revenue Sources.</w:t>
      </w:r>
    </w:p>
    <w:p w14:paraId="73689054" w14:textId="77777777" w:rsidR="00522B60" w:rsidRPr="00AA2474" w:rsidRDefault="00522B60" w:rsidP="00522B60">
      <w:pPr>
        <w:pStyle w:val="ListParagraph"/>
        <w:spacing w:after="0"/>
        <w:ind w:left="810"/>
        <w:rPr>
          <w:rFonts w:ascii="Times New Roman" w:hAnsi="Times New Roman" w:cs="Times New Roman"/>
          <w:sz w:val="24"/>
          <w:szCs w:val="24"/>
        </w:rPr>
      </w:pPr>
    </w:p>
    <w:p w14:paraId="541EE0CB" w14:textId="54C55F89" w:rsidR="00F74809" w:rsidRPr="00AA2474" w:rsidRDefault="00F74809" w:rsidP="00F74809">
      <w:pPr>
        <w:numPr>
          <w:ilvl w:val="0"/>
          <w:numId w:val="18"/>
        </w:numPr>
        <w:spacing w:after="0" w:line="240" w:lineRule="auto"/>
        <w:ind w:left="1080"/>
        <w:textAlignment w:val="center"/>
        <w:rPr>
          <w:rFonts w:ascii="Times New Roman" w:hAnsi="Times New Roman" w:cs="Times New Roman"/>
          <w:sz w:val="24"/>
          <w:szCs w:val="24"/>
        </w:rPr>
      </w:pPr>
      <w:r w:rsidRPr="00AA2474">
        <w:rPr>
          <w:rFonts w:ascii="Times New Roman" w:hAnsi="Times New Roman" w:cs="Times New Roman"/>
          <w:sz w:val="24"/>
          <w:szCs w:val="24"/>
        </w:rPr>
        <w:t>Over the summer, the Working Group explored the possibility of a per parcel or an impervious surface fee.  Unless tagged to the existing property tax bill, the administrative costs of such a fee are proportionately high, roughly 20% for addressing a $18-20M gap, compared to 1% for Administration of all other tax revenues that the Tax Department collects.</w:t>
      </w:r>
      <w:r w:rsidR="00FC316A">
        <w:rPr>
          <w:rFonts w:ascii="Times New Roman" w:hAnsi="Times New Roman" w:cs="Times New Roman"/>
          <w:sz w:val="24"/>
          <w:szCs w:val="24"/>
        </w:rPr>
        <w:t xml:space="preserve"> </w:t>
      </w:r>
    </w:p>
    <w:p w14:paraId="5BD3905E" w14:textId="484E5ABF" w:rsidR="00522B60" w:rsidRPr="00AA2474" w:rsidRDefault="00522B60" w:rsidP="00782F71">
      <w:pPr>
        <w:spacing w:after="0"/>
        <w:rPr>
          <w:rFonts w:ascii="Times New Roman" w:hAnsi="Times New Roman" w:cs="Times New Roman"/>
          <w:sz w:val="24"/>
          <w:szCs w:val="24"/>
        </w:rPr>
      </w:pPr>
    </w:p>
    <w:p w14:paraId="1E50AE9F" w14:textId="0673A5AE" w:rsidR="00782F71" w:rsidRPr="00AA2474" w:rsidRDefault="00522B60" w:rsidP="00522B60">
      <w:pPr>
        <w:pStyle w:val="ListParagraph"/>
        <w:numPr>
          <w:ilvl w:val="0"/>
          <w:numId w:val="19"/>
        </w:numPr>
        <w:spacing w:after="0"/>
        <w:ind w:left="1080"/>
        <w:rPr>
          <w:rFonts w:ascii="Times New Roman" w:hAnsi="Times New Roman" w:cs="Times New Roman"/>
          <w:sz w:val="24"/>
          <w:szCs w:val="24"/>
        </w:rPr>
      </w:pPr>
      <w:r w:rsidRPr="00AA2474">
        <w:rPr>
          <w:rFonts w:ascii="Times New Roman" w:hAnsi="Times New Roman" w:cs="Times New Roman"/>
          <w:sz w:val="24"/>
          <w:szCs w:val="24"/>
        </w:rPr>
        <w:t xml:space="preserve">Treasurer Pearce explained that in her January 2017 report she looked at over sixty revenue sources.  The </w:t>
      </w:r>
      <w:r w:rsidR="00782F71" w:rsidRPr="00AA2474">
        <w:rPr>
          <w:rFonts w:ascii="Times New Roman" w:hAnsi="Times New Roman" w:cs="Times New Roman"/>
          <w:sz w:val="24"/>
          <w:szCs w:val="24"/>
        </w:rPr>
        <w:t xml:space="preserve">recommendations turned on the amount of money that needed to be raised. The Treasurer recommended </w:t>
      </w:r>
      <w:r w:rsidRPr="00AA2474">
        <w:rPr>
          <w:rFonts w:ascii="Times New Roman" w:hAnsi="Times New Roman" w:cs="Times New Roman"/>
          <w:sz w:val="24"/>
          <w:szCs w:val="24"/>
        </w:rPr>
        <w:t xml:space="preserve">a parcel or impervious surface fee if roughly $20 million is needed, but other revenue sources if less is needed.  She pointed out that clean water administration includes both the collection of revenues and the delivery of services, and that these can be separated.  She believes there are advantages to local delivery of services, either through regional planning commissions or utilities.  </w:t>
      </w:r>
      <w:r w:rsidR="00FC316A">
        <w:rPr>
          <w:rFonts w:ascii="Times New Roman" w:hAnsi="Times New Roman" w:cs="Times New Roman"/>
          <w:sz w:val="24"/>
          <w:szCs w:val="24"/>
        </w:rPr>
        <w:t xml:space="preserve">The Treasurer that </w:t>
      </w:r>
      <w:r w:rsidR="00FC316A">
        <w:rPr>
          <w:rFonts w:ascii="Times New Roman" w:hAnsi="Times New Roman" w:cs="Times New Roman"/>
          <w:sz w:val="24"/>
          <w:szCs w:val="24"/>
        </w:rPr>
        <w:t>administrative</w:t>
      </w:r>
      <w:r w:rsidR="00FC316A">
        <w:rPr>
          <w:rFonts w:ascii="Times New Roman" w:hAnsi="Times New Roman" w:cs="Times New Roman"/>
          <w:sz w:val="24"/>
          <w:szCs w:val="24"/>
        </w:rPr>
        <w:t xml:space="preserve"> costs of 20% are unacceptably high for a per parcel or impervious fee to be viable.</w:t>
      </w:r>
    </w:p>
    <w:p w14:paraId="12AF64C9" w14:textId="77777777" w:rsidR="00782F71" w:rsidRPr="00AA2474" w:rsidRDefault="00782F71" w:rsidP="00782F71">
      <w:pPr>
        <w:pStyle w:val="ListParagraph"/>
        <w:spacing w:after="0"/>
        <w:ind w:left="1080"/>
        <w:rPr>
          <w:rFonts w:ascii="Times New Roman" w:hAnsi="Times New Roman" w:cs="Times New Roman"/>
          <w:sz w:val="24"/>
          <w:szCs w:val="24"/>
        </w:rPr>
      </w:pPr>
    </w:p>
    <w:p w14:paraId="31F7EF82" w14:textId="23ECD006" w:rsidR="00522B60" w:rsidRPr="00AA2474" w:rsidRDefault="00522B60" w:rsidP="00522B60">
      <w:pPr>
        <w:pStyle w:val="ListParagraph"/>
        <w:numPr>
          <w:ilvl w:val="0"/>
          <w:numId w:val="19"/>
        </w:numPr>
        <w:spacing w:after="0"/>
        <w:ind w:left="1080"/>
        <w:rPr>
          <w:rFonts w:ascii="Times New Roman" w:hAnsi="Times New Roman" w:cs="Times New Roman"/>
          <w:sz w:val="24"/>
          <w:szCs w:val="24"/>
        </w:rPr>
      </w:pPr>
      <w:r w:rsidRPr="00AA2474">
        <w:rPr>
          <w:rFonts w:ascii="Times New Roman" w:hAnsi="Times New Roman" w:cs="Times New Roman"/>
          <w:sz w:val="24"/>
          <w:szCs w:val="24"/>
        </w:rPr>
        <w:t xml:space="preserve">The Treasurer said that the capital budget remains a good source of funding because clean water is a capital asset, and $2.5 billion of tourism </w:t>
      </w:r>
      <w:r w:rsidR="00782F71" w:rsidRPr="00AA2474">
        <w:rPr>
          <w:rFonts w:ascii="Times New Roman" w:hAnsi="Times New Roman" w:cs="Times New Roman"/>
          <w:sz w:val="24"/>
          <w:szCs w:val="24"/>
        </w:rPr>
        <w:t>in V</w:t>
      </w:r>
      <w:r w:rsidRPr="00AA2474">
        <w:rPr>
          <w:rFonts w:ascii="Times New Roman" w:hAnsi="Times New Roman" w:cs="Times New Roman"/>
          <w:sz w:val="24"/>
          <w:szCs w:val="24"/>
        </w:rPr>
        <w:t>ermont depends on a clean environment.</w:t>
      </w:r>
      <w:r w:rsidR="00782F71" w:rsidRPr="00AA2474">
        <w:rPr>
          <w:rFonts w:ascii="Times New Roman" w:hAnsi="Times New Roman" w:cs="Times New Roman"/>
          <w:sz w:val="24"/>
          <w:szCs w:val="24"/>
        </w:rPr>
        <w:t xml:space="preserve">  The Debt Affordability Committee determines the bonding level, and over the past few years has recommended borrowing less.</w:t>
      </w:r>
    </w:p>
    <w:p w14:paraId="45CA9967" w14:textId="77777777" w:rsidR="00F74809" w:rsidRPr="00AA2474" w:rsidRDefault="00F74809" w:rsidP="00F74809">
      <w:pPr>
        <w:spacing w:after="0"/>
        <w:rPr>
          <w:rFonts w:ascii="Times New Roman" w:hAnsi="Times New Roman" w:cs="Times New Roman"/>
          <w:sz w:val="24"/>
          <w:szCs w:val="24"/>
        </w:rPr>
      </w:pPr>
    </w:p>
    <w:p w14:paraId="686861D9" w14:textId="146AE6CD" w:rsidR="002718C3" w:rsidRPr="00AA2474" w:rsidRDefault="00630581" w:rsidP="00630581">
      <w:pPr>
        <w:pStyle w:val="ListParagraph"/>
        <w:numPr>
          <w:ilvl w:val="0"/>
          <w:numId w:val="15"/>
        </w:numPr>
        <w:spacing w:after="0"/>
        <w:ind w:left="360"/>
        <w:rPr>
          <w:rFonts w:ascii="Times New Roman" w:hAnsi="Times New Roman" w:cs="Times New Roman"/>
          <w:sz w:val="24"/>
          <w:szCs w:val="24"/>
        </w:rPr>
      </w:pPr>
      <w:r w:rsidRPr="00AA2474">
        <w:rPr>
          <w:rFonts w:ascii="Times New Roman" w:hAnsi="Times New Roman" w:cs="Times New Roman"/>
          <w:sz w:val="24"/>
          <w:szCs w:val="24"/>
          <w:u w:val="single"/>
        </w:rPr>
        <w:t>General Discussion</w:t>
      </w:r>
    </w:p>
    <w:p w14:paraId="6424FB12" w14:textId="22418D30" w:rsidR="00630581" w:rsidRPr="00AA2474" w:rsidRDefault="00630581" w:rsidP="00630581">
      <w:pPr>
        <w:spacing w:after="0"/>
        <w:rPr>
          <w:rFonts w:ascii="Times New Roman" w:hAnsi="Times New Roman" w:cs="Times New Roman"/>
          <w:sz w:val="24"/>
          <w:szCs w:val="24"/>
        </w:rPr>
      </w:pPr>
    </w:p>
    <w:p w14:paraId="179903CE" w14:textId="1566528F" w:rsidR="00630581" w:rsidRPr="00AA2474" w:rsidRDefault="00630581" w:rsidP="00630581">
      <w:pPr>
        <w:spacing w:after="0" w:line="240" w:lineRule="auto"/>
        <w:ind w:left="180"/>
        <w:textAlignment w:val="center"/>
        <w:rPr>
          <w:rFonts w:ascii="Times New Roman" w:hAnsi="Times New Roman" w:cs="Times New Roman"/>
          <w:sz w:val="24"/>
          <w:szCs w:val="24"/>
        </w:rPr>
      </w:pPr>
      <w:r w:rsidRPr="00AA2474">
        <w:rPr>
          <w:rFonts w:ascii="Times New Roman" w:hAnsi="Times New Roman" w:cs="Times New Roman"/>
          <w:sz w:val="24"/>
          <w:szCs w:val="24"/>
        </w:rPr>
        <w:t>Dominic Cloud expressed concern that the Committee's Report could reduce the sense of urgency in the Statehouse.  Secretary Moore reiterated the gap in the agriculture sector and the ramping up of private sector investments as the regulato</w:t>
      </w:r>
      <w:r w:rsidR="00FC316A">
        <w:rPr>
          <w:rFonts w:ascii="Times New Roman" w:hAnsi="Times New Roman" w:cs="Times New Roman"/>
          <w:sz w:val="24"/>
          <w:szCs w:val="24"/>
        </w:rPr>
        <w:t xml:space="preserve">ry framework goes into effect. The </w:t>
      </w:r>
      <w:r w:rsidRPr="00AA2474">
        <w:rPr>
          <w:rFonts w:ascii="Times New Roman" w:hAnsi="Times New Roman" w:cs="Times New Roman"/>
          <w:sz w:val="24"/>
          <w:szCs w:val="24"/>
        </w:rPr>
        <w:t>Secretary also discussed the need to balance the messaging regarding capital and non-capital needs.</w:t>
      </w:r>
    </w:p>
    <w:p w14:paraId="3787F1FE" w14:textId="77777777" w:rsidR="00630581" w:rsidRPr="00AA2474" w:rsidRDefault="00630581" w:rsidP="00630581">
      <w:pPr>
        <w:spacing w:after="0" w:line="240" w:lineRule="auto"/>
        <w:ind w:left="180"/>
        <w:textAlignment w:val="center"/>
        <w:rPr>
          <w:rFonts w:ascii="Times New Roman" w:hAnsi="Times New Roman" w:cs="Times New Roman"/>
          <w:sz w:val="24"/>
          <w:szCs w:val="24"/>
        </w:rPr>
      </w:pPr>
    </w:p>
    <w:p w14:paraId="78C79184" w14:textId="6B089AAC" w:rsidR="00630581" w:rsidRPr="00AA2474" w:rsidRDefault="00630581" w:rsidP="00630581">
      <w:pPr>
        <w:spacing w:after="0" w:line="240" w:lineRule="auto"/>
        <w:ind w:left="180"/>
        <w:textAlignment w:val="center"/>
        <w:rPr>
          <w:rFonts w:ascii="Times New Roman" w:hAnsi="Times New Roman" w:cs="Times New Roman"/>
          <w:sz w:val="24"/>
          <w:szCs w:val="24"/>
        </w:rPr>
      </w:pPr>
      <w:r w:rsidRPr="00AA2474">
        <w:rPr>
          <w:rFonts w:ascii="Times New Roman" w:hAnsi="Times New Roman" w:cs="Times New Roman"/>
          <w:sz w:val="24"/>
          <w:szCs w:val="24"/>
        </w:rPr>
        <w:t>Jill Arace noted that spending in the agriculture sector is the most cost-effective place to put money.  Secretary Moore noted that even if the state had additional money for agricultural spending, the state would need to increase its capacity to implement projects on the ground.  Capital investments require extensive resources to ramp up</w:t>
      </w:r>
      <w:r w:rsidR="00D90078" w:rsidRPr="00AA2474">
        <w:rPr>
          <w:rFonts w:ascii="Times New Roman" w:hAnsi="Times New Roman" w:cs="Times New Roman"/>
          <w:sz w:val="24"/>
          <w:szCs w:val="24"/>
        </w:rPr>
        <w:t>.</w:t>
      </w:r>
    </w:p>
    <w:p w14:paraId="4422A009" w14:textId="77777777" w:rsidR="00D90078" w:rsidRPr="00AA2474" w:rsidRDefault="00D90078" w:rsidP="00630581">
      <w:pPr>
        <w:spacing w:after="0" w:line="240" w:lineRule="auto"/>
        <w:ind w:left="180"/>
        <w:textAlignment w:val="center"/>
        <w:rPr>
          <w:rFonts w:ascii="Times New Roman" w:hAnsi="Times New Roman" w:cs="Times New Roman"/>
          <w:sz w:val="24"/>
          <w:szCs w:val="24"/>
        </w:rPr>
      </w:pPr>
    </w:p>
    <w:p w14:paraId="1B2664C0" w14:textId="27409A98" w:rsidR="00630581" w:rsidRPr="00AA2474" w:rsidRDefault="00630581" w:rsidP="00630581">
      <w:pPr>
        <w:spacing w:after="0" w:line="240" w:lineRule="auto"/>
        <w:ind w:left="180"/>
        <w:textAlignment w:val="center"/>
        <w:rPr>
          <w:rFonts w:ascii="Times New Roman" w:hAnsi="Times New Roman" w:cs="Times New Roman"/>
          <w:sz w:val="24"/>
          <w:szCs w:val="24"/>
        </w:rPr>
      </w:pPr>
      <w:r w:rsidRPr="00AA2474">
        <w:rPr>
          <w:rFonts w:ascii="Times New Roman" w:hAnsi="Times New Roman" w:cs="Times New Roman"/>
          <w:sz w:val="24"/>
          <w:szCs w:val="24"/>
        </w:rPr>
        <w:t>Chuck Ross</w:t>
      </w:r>
      <w:r w:rsidR="00D90078" w:rsidRPr="00AA2474">
        <w:rPr>
          <w:rFonts w:ascii="Times New Roman" w:hAnsi="Times New Roman" w:cs="Times New Roman"/>
          <w:sz w:val="24"/>
          <w:szCs w:val="24"/>
        </w:rPr>
        <w:t xml:space="preserve"> asked if there </w:t>
      </w:r>
      <w:r w:rsidR="005D7094" w:rsidRPr="00AA2474">
        <w:rPr>
          <w:rFonts w:ascii="Times New Roman" w:hAnsi="Times New Roman" w:cs="Times New Roman"/>
          <w:sz w:val="24"/>
          <w:szCs w:val="24"/>
        </w:rPr>
        <w:t>is a strategy for increasing capacity in the agricultural sector.  He also queried if the EPA might allow phosphorus credit trading between sectors.</w:t>
      </w:r>
    </w:p>
    <w:p w14:paraId="126E1FF1" w14:textId="77777777" w:rsidR="005D7094" w:rsidRPr="00AA2474" w:rsidRDefault="005D7094" w:rsidP="005D7094">
      <w:pPr>
        <w:spacing w:after="0" w:line="240" w:lineRule="auto"/>
        <w:ind w:left="180"/>
        <w:textAlignment w:val="center"/>
        <w:rPr>
          <w:rFonts w:ascii="Times New Roman" w:hAnsi="Times New Roman" w:cs="Times New Roman"/>
          <w:sz w:val="24"/>
          <w:szCs w:val="24"/>
        </w:rPr>
      </w:pPr>
    </w:p>
    <w:p w14:paraId="1F712BE6" w14:textId="121904E0" w:rsidR="00630581" w:rsidRPr="00AA2474" w:rsidRDefault="00630581" w:rsidP="005D7094">
      <w:pPr>
        <w:spacing w:after="0" w:line="240" w:lineRule="auto"/>
        <w:ind w:left="180"/>
        <w:textAlignment w:val="center"/>
        <w:rPr>
          <w:rFonts w:ascii="Times New Roman" w:hAnsi="Times New Roman" w:cs="Times New Roman"/>
          <w:sz w:val="24"/>
          <w:szCs w:val="24"/>
        </w:rPr>
      </w:pPr>
      <w:r w:rsidRPr="00AA2474">
        <w:rPr>
          <w:rFonts w:ascii="Times New Roman" w:hAnsi="Times New Roman" w:cs="Times New Roman"/>
          <w:sz w:val="24"/>
          <w:szCs w:val="24"/>
        </w:rPr>
        <w:t>Jeff Wennberg</w:t>
      </w:r>
      <w:r w:rsidR="005D7094" w:rsidRPr="00AA2474">
        <w:rPr>
          <w:rFonts w:ascii="Times New Roman" w:hAnsi="Times New Roman" w:cs="Times New Roman"/>
          <w:sz w:val="24"/>
          <w:szCs w:val="24"/>
        </w:rPr>
        <w:t xml:space="preserve"> stated that the b</w:t>
      </w:r>
      <w:r w:rsidRPr="00AA2474">
        <w:rPr>
          <w:rFonts w:ascii="Times New Roman" w:hAnsi="Times New Roman" w:cs="Times New Roman"/>
          <w:sz w:val="24"/>
          <w:szCs w:val="24"/>
        </w:rPr>
        <w:t>iggest disincentive for front loading capital investments is that th</w:t>
      </w:r>
      <w:r w:rsidR="005D7094" w:rsidRPr="00AA2474">
        <w:rPr>
          <w:rFonts w:ascii="Times New Roman" w:hAnsi="Times New Roman" w:cs="Times New Roman"/>
          <w:sz w:val="24"/>
          <w:szCs w:val="24"/>
        </w:rPr>
        <w:t>e regulatory framework will change.  There need</w:t>
      </w:r>
      <w:r w:rsidRPr="00AA2474">
        <w:rPr>
          <w:rFonts w:ascii="Times New Roman" w:hAnsi="Times New Roman" w:cs="Times New Roman"/>
          <w:sz w:val="24"/>
          <w:szCs w:val="24"/>
        </w:rPr>
        <w:t xml:space="preserve"> to be assurances</w:t>
      </w:r>
      <w:r w:rsidR="005D7094" w:rsidRPr="00AA2474">
        <w:rPr>
          <w:rFonts w:ascii="Times New Roman" w:hAnsi="Times New Roman" w:cs="Times New Roman"/>
          <w:sz w:val="24"/>
          <w:szCs w:val="24"/>
        </w:rPr>
        <w:t xml:space="preserve"> that</w:t>
      </w:r>
      <w:r w:rsidRPr="00AA2474">
        <w:rPr>
          <w:rFonts w:ascii="Times New Roman" w:hAnsi="Times New Roman" w:cs="Times New Roman"/>
          <w:sz w:val="24"/>
          <w:szCs w:val="24"/>
        </w:rPr>
        <w:t xml:space="preserve"> </w:t>
      </w:r>
      <w:r w:rsidR="005D7094" w:rsidRPr="00AA2474">
        <w:rPr>
          <w:rFonts w:ascii="Times New Roman" w:hAnsi="Times New Roman" w:cs="Times New Roman"/>
          <w:sz w:val="24"/>
          <w:szCs w:val="24"/>
        </w:rPr>
        <w:t>once an asset is constructed, it</w:t>
      </w:r>
      <w:r w:rsidRPr="00AA2474">
        <w:rPr>
          <w:rFonts w:ascii="Times New Roman" w:hAnsi="Times New Roman" w:cs="Times New Roman"/>
          <w:sz w:val="24"/>
          <w:szCs w:val="24"/>
        </w:rPr>
        <w:t xml:space="preserve"> will satis</w:t>
      </w:r>
      <w:r w:rsidR="005D7094" w:rsidRPr="00AA2474">
        <w:rPr>
          <w:rFonts w:ascii="Times New Roman" w:hAnsi="Times New Roman" w:cs="Times New Roman"/>
          <w:sz w:val="24"/>
          <w:szCs w:val="24"/>
        </w:rPr>
        <w:t>fy regulatory requirements for the life of the asset.</w:t>
      </w:r>
    </w:p>
    <w:p w14:paraId="64DCC49D" w14:textId="77777777" w:rsidR="005D7094" w:rsidRPr="00AA2474" w:rsidRDefault="005D7094" w:rsidP="005D7094">
      <w:pPr>
        <w:spacing w:after="0" w:line="240" w:lineRule="auto"/>
        <w:ind w:left="180"/>
        <w:textAlignment w:val="center"/>
        <w:rPr>
          <w:rFonts w:ascii="Times New Roman" w:hAnsi="Times New Roman" w:cs="Times New Roman"/>
          <w:sz w:val="24"/>
          <w:szCs w:val="24"/>
        </w:rPr>
      </w:pPr>
    </w:p>
    <w:p w14:paraId="0EB86224" w14:textId="4DFDECA1" w:rsidR="00630581" w:rsidRPr="00AA2474" w:rsidRDefault="005D7094" w:rsidP="003343C7">
      <w:pPr>
        <w:spacing w:after="0" w:line="240" w:lineRule="auto"/>
        <w:ind w:left="180"/>
        <w:textAlignment w:val="center"/>
        <w:rPr>
          <w:rFonts w:ascii="Times New Roman" w:hAnsi="Times New Roman" w:cs="Times New Roman"/>
          <w:sz w:val="24"/>
          <w:szCs w:val="24"/>
        </w:rPr>
      </w:pPr>
      <w:r w:rsidRPr="00AA2474">
        <w:rPr>
          <w:rFonts w:ascii="Times New Roman" w:hAnsi="Times New Roman" w:cs="Times New Roman"/>
          <w:sz w:val="24"/>
          <w:szCs w:val="24"/>
        </w:rPr>
        <w:t xml:space="preserve">Diane Bothfeld addressed the capacity limitations for getting money to farmers.  These capacity limitations exist </w:t>
      </w:r>
      <w:r w:rsidR="00FC316A">
        <w:rPr>
          <w:rFonts w:ascii="Times New Roman" w:hAnsi="Times New Roman" w:cs="Times New Roman"/>
          <w:sz w:val="24"/>
          <w:szCs w:val="24"/>
        </w:rPr>
        <w:t>in both state and federal government agencies, among farmers</w:t>
      </w:r>
      <w:r w:rsidRPr="00AA2474">
        <w:rPr>
          <w:rFonts w:ascii="Times New Roman" w:hAnsi="Times New Roman" w:cs="Times New Roman"/>
          <w:sz w:val="24"/>
          <w:szCs w:val="24"/>
        </w:rPr>
        <w:t xml:space="preserve"> and</w:t>
      </w:r>
      <w:r w:rsidR="00FC316A">
        <w:rPr>
          <w:rFonts w:ascii="Times New Roman" w:hAnsi="Times New Roman" w:cs="Times New Roman"/>
          <w:sz w:val="24"/>
          <w:szCs w:val="24"/>
        </w:rPr>
        <w:t>, to a lesser degree,</w:t>
      </w:r>
      <w:r w:rsidRPr="00AA2474">
        <w:rPr>
          <w:rFonts w:ascii="Times New Roman" w:hAnsi="Times New Roman" w:cs="Times New Roman"/>
          <w:sz w:val="24"/>
          <w:szCs w:val="24"/>
        </w:rPr>
        <w:t xml:space="preserve"> among consultants.  The Agency of Agriculture, Food and Markets (AAFM) </w:t>
      </w:r>
      <w:r w:rsidR="003343C7" w:rsidRPr="00AA2474">
        <w:rPr>
          <w:rFonts w:ascii="Times New Roman" w:hAnsi="Times New Roman" w:cs="Times New Roman"/>
          <w:sz w:val="24"/>
          <w:szCs w:val="24"/>
        </w:rPr>
        <w:t>estimates that</w:t>
      </w:r>
      <w:r w:rsidRPr="00AA2474">
        <w:rPr>
          <w:rFonts w:ascii="Times New Roman" w:hAnsi="Times New Roman" w:cs="Times New Roman"/>
          <w:sz w:val="24"/>
          <w:szCs w:val="24"/>
        </w:rPr>
        <w:t xml:space="preserve"> one engineer can deploy about $600,000 </w:t>
      </w:r>
      <w:r w:rsidR="00FC316A">
        <w:rPr>
          <w:rFonts w:ascii="Times New Roman" w:hAnsi="Times New Roman" w:cs="Times New Roman"/>
          <w:sz w:val="24"/>
          <w:szCs w:val="24"/>
        </w:rPr>
        <w:t xml:space="preserve">of funds </w:t>
      </w:r>
      <w:r w:rsidRPr="00AA2474">
        <w:rPr>
          <w:rFonts w:ascii="Times New Roman" w:hAnsi="Times New Roman" w:cs="Times New Roman"/>
          <w:sz w:val="24"/>
          <w:szCs w:val="24"/>
        </w:rPr>
        <w:t>a year</w:t>
      </w:r>
      <w:r w:rsidR="00FC316A">
        <w:rPr>
          <w:rFonts w:ascii="Times New Roman" w:hAnsi="Times New Roman" w:cs="Times New Roman"/>
          <w:sz w:val="24"/>
          <w:szCs w:val="24"/>
        </w:rPr>
        <w:t xml:space="preserve"> in on-the-ground projects</w:t>
      </w:r>
      <w:r w:rsidRPr="00AA2474">
        <w:rPr>
          <w:rFonts w:ascii="Times New Roman" w:hAnsi="Times New Roman" w:cs="Times New Roman"/>
          <w:sz w:val="24"/>
          <w:szCs w:val="24"/>
        </w:rPr>
        <w:t xml:space="preserve">.  </w:t>
      </w:r>
      <w:r w:rsidR="00FC316A">
        <w:rPr>
          <w:rFonts w:ascii="Times New Roman" w:hAnsi="Times New Roman" w:cs="Times New Roman"/>
          <w:sz w:val="24"/>
          <w:szCs w:val="24"/>
        </w:rPr>
        <w:t>In addition, agronomic activities like n</w:t>
      </w:r>
      <w:r w:rsidRPr="00AA2474">
        <w:rPr>
          <w:rFonts w:ascii="Times New Roman" w:hAnsi="Times New Roman" w:cs="Times New Roman"/>
          <w:sz w:val="24"/>
          <w:szCs w:val="24"/>
        </w:rPr>
        <w:t xml:space="preserve">utrient </w:t>
      </w:r>
      <w:r w:rsidR="00FC316A">
        <w:rPr>
          <w:rFonts w:ascii="Times New Roman" w:hAnsi="Times New Roman" w:cs="Times New Roman"/>
          <w:sz w:val="24"/>
          <w:szCs w:val="24"/>
        </w:rPr>
        <w:t>m</w:t>
      </w:r>
      <w:r w:rsidRPr="00AA2474">
        <w:rPr>
          <w:rFonts w:ascii="Times New Roman" w:hAnsi="Times New Roman" w:cs="Times New Roman"/>
          <w:sz w:val="24"/>
          <w:szCs w:val="24"/>
        </w:rPr>
        <w:t>anagement</w:t>
      </w:r>
      <w:r w:rsidR="00630581" w:rsidRPr="00AA2474">
        <w:rPr>
          <w:rFonts w:ascii="Times New Roman" w:hAnsi="Times New Roman" w:cs="Times New Roman"/>
          <w:sz w:val="24"/>
          <w:szCs w:val="24"/>
        </w:rPr>
        <w:t xml:space="preserve"> </w:t>
      </w:r>
      <w:r w:rsidR="00FC316A">
        <w:rPr>
          <w:rFonts w:ascii="Times New Roman" w:hAnsi="Times New Roman" w:cs="Times New Roman"/>
          <w:sz w:val="24"/>
          <w:szCs w:val="24"/>
        </w:rPr>
        <w:t>p</w:t>
      </w:r>
      <w:r w:rsidR="00630581" w:rsidRPr="00AA2474">
        <w:rPr>
          <w:rFonts w:ascii="Times New Roman" w:hAnsi="Times New Roman" w:cs="Times New Roman"/>
          <w:sz w:val="24"/>
          <w:szCs w:val="24"/>
        </w:rPr>
        <w:t>lan</w:t>
      </w:r>
      <w:r w:rsidR="00FC316A">
        <w:rPr>
          <w:rFonts w:ascii="Times New Roman" w:hAnsi="Times New Roman" w:cs="Times New Roman"/>
          <w:sz w:val="24"/>
          <w:szCs w:val="24"/>
        </w:rPr>
        <w:t>ning</w:t>
      </w:r>
      <w:r w:rsidR="00630581" w:rsidRPr="00AA2474">
        <w:rPr>
          <w:rFonts w:ascii="Times New Roman" w:hAnsi="Times New Roman" w:cs="Times New Roman"/>
          <w:sz w:val="24"/>
          <w:szCs w:val="24"/>
        </w:rPr>
        <w:t xml:space="preserve">, </w:t>
      </w:r>
      <w:r w:rsidR="00FC316A">
        <w:rPr>
          <w:rFonts w:ascii="Times New Roman" w:hAnsi="Times New Roman" w:cs="Times New Roman"/>
          <w:sz w:val="24"/>
          <w:szCs w:val="24"/>
        </w:rPr>
        <w:t>cover c</w:t>
      </w:r>
      <w:r w:rsidR="00630581" w:rsidRPr="00AA2474">
        <w:rPr>
          <w:rFonts w:ascii="Times New Roman" w:hAnsi="Times New Roman" w:cs="Times New Roman"/>
          <w:sz w:val="24"/>
          <w:szCs w:val="24"/>
        </w:rPr>
        <w:t xml:space="preserve">ropping, etc. all require personnel </w:t>
      </w:r>
      <w:r w:rsidR="00630581" w:rsidRPr="00AA2474">
        <w:rPr>
          <w:rFonts w:ascii="Times New Roman" w:hAnsi="Times New Roman" w:cs="Times New Roman"/>
          <w:sz w:val="24"/>
          <w:szCs w:val="24"/>
        </w:rPr>
        <w:lastRenderedPageBreak/>
        <w:t>and time to work with farmers</w:t>
      </w:r>
      <w:r w:rsidRPr="00AA2474">
        <w:rPr>
          <w:rFonts w:ascii="Times New Roman" w:hAnsi="Times New Roman" w:cs="Times New Roman"/>
          <w:sz w:val="24"/>
          <w:szCs w:val="24"/>
        </w:rPr>
        <w:t xml:space="preserve">.  </w:t>
      </w:r>
      <w:r w:rsidR="00FC316A">
        <w:rPr>
          <w:rFonts w:ascii="Times New Roman" w:hAnsi="Times New Roman" w:cs="Times New Roman"/>
          <w:sz w:val="24"/>
          <w:szCs w:val="24"/>
        </w:rPr>
        <w:t xml:space="preserve">There are very few qualified technical </w:t>
      </w:r>
      <w:r w:rsidR="00630581" w:rsidRPr="00AA2474">
        <w:rPr>
          <w:rFonts w:ascii="Times New Roman" w:hAnsi="Times New Roman" w:cs="Times New Roman"/>
          <w:sz w:val="24"/>
          <w:szCs w:val="24"/>
        </w:rPr>
        <w:t xml:space="preserve">service providers </w:t>
      </w:r>
      <w:r w:rsidR="00FC316A">
        <w:rPr>
          <w:rFonts w:ascii="Times New Roman" w:hAnsi="Times New Roman" w:cs="Times New Roman"/>
          <w:sz w:val="24"/>
          <w:szCs w:val="24"/>
        </w:rPr>
        <w:t xml:space="preserve">available </w:t>
      </w:r>
      <w:r w:rsidR="00630581" w:rsidRPr="00AA2474">
        <w:rPr>
          <w:rFonts w:ascii="Times New Roman" w:hAnsi="Times New Roman" w:cs="Times New Roman"/>
          <w:sz w:val="24"/>
          <w:szCs w:val="24"/>
        </w:rPr>
        <w:t xml:space="preserve">to hire </w:t>
      </w:r>
      <w:r w:rsidR="00FC316A">
        <w:rPr>
          <w:rFonts w:ascii="Times New Roman" w:hAnsi="Times New Roman" w:cs="Times New Roman"/>
          <w:sz w:val="24"/>
          <w:szCs w:val="24"/>
        </w:rPr>
        <w:t xml:space="preserve">in Vermont </w:t>
      </w:r>
      <w:r w:rsidR="00630581" w:rsidRPr="00AA2474">
        <w:rPr>
          <w:rFonts w:ascii="Times New Roman" w:hAnsi="Times New Roman" w:cs="Times New Roman"/>
          <w:sz w:val="24"/>
          <w:szCs w:val="24"/>
        </w:rPr>
        <w:t xml:space="preserve">to develop Nutrient </w:t>
      </w:r>
      <w:r w:rsidRPr="00AA2474">
        <w:rPr>
          <w:rFonts w:ascii="Times New Roman" w:hAnsi="Times New Roman" w:cs="Times New Roman"/>
          <w:sz w:val="24"/>
          <w:szCs w:val="24"/>
        </w:rPr>
        <w:t>Management</w:t>
      </w:r>
      <w:r w:rsidR="00630581" w:rsidRPr="00AA2474">
        <w:rPr>
          <w:rFonts w:ascii="Times New Roman" w:hAnsi="Times New Roman" w:cs="Times New Roman"/>
          <w:sz w:val="24"/>
          <w:szCs w:val="24"/>
        </w:rPr>
        <w:t xml:space="preserve"> Plans</w:t>
      </w:r>
      <w:r w:rsidRPr="00AA2474">
        <w:rPr>
          <w:rFonts w:ascii="Times New Roman" w:hAnsi="Times New Roman" w:cs="Times New Roman"/>
          <w:sz w:val="24"/>
          <w:szCs w:val="24"/>
        </w:rPr>
        <w:t xml:space="preserve">.  </w:t>
      </w:r>
      <w:r w:rsidR="003343C7" w:rsidRPr="00AA2474">
        <w:rPr>
          <w:rFonts w:ascii="Times New Roman" w:hAnsi="Times New Roman" w:cs="Times New Roman"/>
          <w:sz w:val="24"/>
          <w:szCs w:val="24"/>
        </w:rPr>
        <w:t xml:space="preserve">And </w:t>
      </w:r>
      <w:r w:rsidR="00FC316A">
        <w:rPr>
          <w:rFonts w:ascii="Times New Roman" w:hAnsi="Times New Roman" w:cs="Times New Roman"/>
          <w:sz w:val="24"/>
          <w:szCs w:val="24"/>
        </w:rPr>
        <w:t xml:space="preserve">currently many Vermont </w:t>
      </w:r>
      <w:r w:rsidR="003343C7" w:rsidRPr="00AA2474">
        <w:rPr>
          <w:rFonts w:ascii="Times New Roman" w:hAnsi="Times New Roman" w:cs="Times New Roman"/>
          <w:sz w:val="24"/>
          <w:szCs w:val="24"/>
        </w:rPr>
        <w:t xml:space="preserve">dairy farmers do not have capacity to satisfy </w:t>
      </w:r>
      <w:r w:rsidR="00630581" w:rsidRPr="00AA2474">
        <w:rPr>
          <w:rFonts w:ascii="Times New Roman" w:hAnsi="Times New Roman" w:cs="Times New Roman"/>
          <w:sz w:val="24"/>
          <w:szCs w:val="24"/>
        </w:rPr>
        <w:t>the 10% cost share given th</w:t>
      </w:r>
      <w:r w:rsidR="003343C7" w:rsidRPr="00AA2474">
        <w:rPr>
          <w:rFonts w:ascii="Times New Roman" w:hAnsi="Times New Roman" w:cs="Times New Roman"/>
          <w:sz w:val="24"/>
          <w:szCs w:val="24"/>
        </w:rPr>
        <w:t>e current state of milk prices.</w:t>
      </w:r>
    </w:p>
    <w:p w14:paraId="5D70542A" w14:textId="3959BB3B" w:rsidR="003343C7" w:rsidRPr="00AA2474" w:rsidRDefault="003343C7" w:rsidP="003343C7">
      <w:pPr>
        <w:spacing w:after="0" w:line="240" w:lineRule="auto"/>
        <w:ind w:left="180"/>
        <w:textAlignment w:val="center"/>
        <w:rPr>
          <w:rFonts w:ascii="Times New Roman" w:hAnsi="Times New Roman" w:cs="Times New Roman"/>
          <w:sz w:val="24"/>
          <w:szCs w:val="24"/>
        </w:rPr>
      </w:pPr>
    </w:p>
    <w:p w14:paraId="42709675" w14:textId="77777777" w:rsidR="003343C7" w:rsidRPr="00AA2474" w:rsidRDefault="003343C7" w:rsidP="003343C7">
      <w:pPr>
        <w:spacing w:after="0" w:line="240" w:lineRule="auto"/>
        <w:ind w:left="180"/>
        <w:textAlignment w:val="center"/>
        <w:rPr>
          <w:rFonts w:ascii="Times New Roman" w:hAnsi="Times New Roman" w:cs="Times New Roman"/>
          <w:sz w:val="24"/>
          <w:szCs w:val="24"/>
        </w:rPr>
      </w:pPr>
    </w:p>
    <w:p w14:paraId="5C73D1E4" w14:textId="77777777" w:rsidR="003343C7" w:rsidRPr="00AA2474" w:rsidRDefault="003343C7" w:rsidP="003343C7">
      <w:pPr>
        <w:spacing w:after="0" w:line="240" w:lineRule="auto"/>
        <w:textAlignment w:val="center"/>
        <w:rPr>
          <w:rFonts w:ascii="Times New Roman" w:hAnsi="Times New Roman" w:cs="Times New Roman"/>
          <w:sz w:val="24"/>
          <w:szCs w:val="24"/>
        </w:rPr>
      </w:pPr>
      <w:r w:rsidRPr="00AA2474">
        <w:rPr>
          <w:rFonts w:ascii="Times New Roman" w:hAnsi="Times New Roman" w:cs="Times New Roman"/>
          <w:sz w:val="24"/>
          <w:szCs w:val="24"/>
        </w:rPr>
        <w:t>Treasurer Pearce highlighted three items from the January 2017 report that could help farmers.  (1)  The Vermont Agricultural Credit Corporation, through VEDA, could capitalize interest-rate reductions in farmer’s current loans if they g</w:t>
      </w:r>
      <w:r w:rsidR="00630581" w:rsidRPr="00AA2474">
        <w:rPr>
          <w:rFonts w:ascii="Times New Roman" w:hAnsi="Times New Roman" w:cs="Times New Roman"/>
          <w:sz w:val="24"/>
          <w:szCs w:val="24"/>
        </w:rPr>
        <w:t>o above and beyond the current practice requirements</w:t>
      </w:r>
      <w:r w:rsidRPr="00AA2474">
        <w:rPr>
          <w:rFonts w:ascii="Times New Roman" w:hAnsi="Times New Roman" w:cs="Times New Roman"/>
          <w:sz w:val="24"/>
          <w:szCs w:val="24"/>
        </w:rPr>
        <w:t xml:space="preserve">.  </w:t>
      </w:r>
      <w:r w:rsidR="00630581" w:rsidRPr="00AA2474">
        <w:rPr>
          <w:rFonts w:ascii="Times New Roman" w:hAnsi="Times New Roman" w:cs="Times New Roman"/>
          <w:sz w:val="24"/>
          <w:szCs w:val="24"/>
        </w:rPr>
        <w:t xml:space="preserve">This could help close the gap for the farmer's match for </w:t>
      </w:r>
      <w:r w:rsidRPr="00AA2474">
        <w:rPr>
          <w:rFonts w:ascii="Times New Roman" w:hAnsi="Times New Roman" w:cs="Times New Roman"/>
          <w:sz w:val="24"/>
          <w:szCs w:val="24"/>
        </w:rPr>
        <w:t xml:space="preserve">water-quality projects.  (2) </w:t>
      </w:r>
      <w:r w:rsidR="00630581" w:rsidRPr="00AA2474">
        <w:rPr>
          <w:rFonts w:ascii="Times New Roman" w:hAnsi="Times New Roman" w:cs="Times New Roman"/>
          <w:sz w:val="24"/>
          <w:szCs w:val="24"/>
        </w:rPr>
        <w:t>Digesters</w:t>
      </w:r>
      <w:r w:rsidRPr="00AA2474">
        <w:rPr>
          <w:rFonts w:ascii="Times New Roman" w:hAnsi="Times New Roman" w:cs="Times New Roman"/>
          <w:sz w:val="24"/>
          <w:szCs w:val="24"/>
        </w:rPr>
        <w:t xml:space="preserve"> are clear a capital project.  Current electric rates approved by DPS do not reflect the environmental benefits of phosphorus reductions.  (3)  The Clean Water State Revolving Fund (CWSRF) could pair traditional projects with natural resource projects and, by lowering interest rates, could incentivize municipalities to take on more water-quality projects.  DEC reported that it has hired an accountant to review this idea. </w:t>
      </w:r>
    </w:p>
    <w:p w14:paraId="07435A78" w14:textId="2E915A40" w:rsidR="00630581" w:rsidRPr="00AA2474" w:rsidRDefault="00630581" w:rsidP="003343C7">
      <w:pPr>
        <w:spacing w:after="0" w:line="240" w:lineRule="auto"/>
        <w:textAlignment w:val="center"/>
        <w:rPr>
          <w:rFonts w:ascii="Times New Roman" w:hAnsi="Times New Roman" w:cs="Times New Roman"/>
          <w:sz w:val="24"/>
          <w:szCs w:val="24"/>
        </w:rPr>
      </w:pPr>
    </w:p>
    <w:p w14:paraId="04B8A3D0" w14:textId="1018F2C6" w:rsidR="00630581" w:rsidRPr="00AA2474" w:rsidRDefault="00630581" w:rsidP="003343C7">
      <w:pPr>
        <w:spacing w:after="0" w:line="240" w:lineRule="auto"/>
        <w:textAlignment w:val="center"/>
        <w:rPr>
          <w:rFonts w:ascii="Times New Roman" w:hAnsi="Times New Roman" w:cs="Times New Roman"/>
          <w:sz w:val="24"/>
          <w:szCs w:val="24"/>
        </w:rPr>
      </w:pPr>
      <w:r w:rsidRPr="00AA2474">
        <w:rPr>
          <w:rFonts w:ascii="Times New Roman" w:hAnsi="Times New Roman" w:cs="Times New Roman"/>
          <w:sz w:val="24"/>
          <w:szCs w:val="24"/>
        </w:rPr>
        <w:t>Chuck</w:t>
      </w:r>
      <w:r w:rsidR="003343C7" w:rsidRPr="00AA2474">
        <w:rPr>
          <w:rFonts w:ascii="Times New Roman" w:hAnsi="Times New Roman" w:cs="Times New Roman"/>
          <w:sz w:val="24"/>
          <w:szCs w:val="24"/>
        </w:rPr>
        <w:t xml:space="preserve"> Ross suggested that the state explore markets for exporting phosphorus out of state.</w:t>
      </w:r>
    </w:p>
    <w:p w14:paraId="28265F70" w14:textId="6328066E" w:rsidR="003343C7" w:rsidRPr="00AA2474" w:rsidRDefault="003343C7" w:rsidP="003343C7">
      <w:pPr>
        <w:spacing w:after="0" w:line="240" w:lineRule="auto"/>
        <w:textAlignment w:val="center"/>
        <w:rPr>
          <w:rFonts w:ascii="Times New Roman" w:hAnsi="Times New Roman" w:cs="Times New Roman"/>
          <w:sz w:val="24"/>
          <w:szCs w:val="24"/>
        </w:rPr>
      </w:pPr>
    </w:p>
    <w:p w14:paraId="4A96A867" w14:textId="1F926AA0" w:rsidR="00630581" w:rsidRPr="00AA2474" w:rsidRDefault="003343C7" w:rsidP="003343C7">
      <w:pPr>
        <w:spacing w:after="0" w:line="240" w:lineRule="auto"/>
        <w:textAlignment w:val="center"/>
        <w:rPr>
          <w:rFonts w:ascii="Times New Roman" w:hAnsi="Times New Roman" w:cs="Times New Roman"/>
          <w:sz w:val="24"/>
          <w:szCs w:val="24"/>
        </w:rPr>
      </w:pPr>
      <w:r w:rsidRPr="00AA2474">
        <w:rPr>
          <w:rFonts w:ascii="Times New Roman" w:hAnsi="Times New Roman" w:cs="Times New Roman"/>
          <w:sz w:val="24"/>
          <w:szCs w:val="24"/>
        </w:rPr>
        <w:t>Jenna Ols</w:t>
      </w:r>
      <w:r w:rsidR="00FC316A">
        <w:rPr>
          <w:rFonts w:ascii="Times New Roman" w:hAnsi="Times New Roman" w:cs="Times New Roman"/>
          <w:sz w:val="24"/>
          <w:szCs w:val="24"/>
        </w:rPr>
        <w:t>o</w:t>
      </w:r>
      <w:bookmarkStart w:id="0" w:name="_GoBack"/>
      <w:bookmarkEnd w:id="0"/>
      <w:r w:rsidRPr="00AA2474">
        <w:rPr>
          <w:rFonts w:ascii="Times New Roman" w:hAnsi="Times New Roman" w:cs="Times New Roman"/>
          <w:sz w:val="24"/>
          <w:szCs w:val="24"/>
        </w:rPr>
        <w:t xml:space="preserve">n said that the City of Burlington supports </w:t>
      </w:r>
      <w:r w:rsidR="00630581" w:rsidRPr="00AA2474">
        <w:rPr>
          <w:rFonts w:ascii="Times New Roman" w:hAnsi="Times New Roman" w:cs="Times New Roman"/>
          <w:sz w:val="24"/>
          <w:szCs w:val="24"/>
        </w:rPr>
        <w:t xml:space="preserve">a market model for trading </w:t>
      </w:r>
      <w:r w:rsidRPr="00AA2474">
        <w:rPr>
          <w:rFonts w:ascii="Times New Roman" w:hAnsi="Times New Roman" w:cs="Times New Roman"/>
          <w:sz w:val="24"/>
          <w:szCs w:val="24"/>
        </w:rPr>
        <w:t>phosphorus between sectors and landowners within the same watershed. The</w:t>
      </w:r>
      <w:r w:rsidR="00630581" w:rsidRPr="00AA2474">
        <w:rPr>
          <w:rFonts w:ascii="Times New Roman" w:hAnsi="Times New Roman" w:cs="Times New Roman"/>
          <w:sz w:val="24"/>
          <w:szCs w:val="24"/>
        </w:rPr>
        <w:t>re is not always the space for privates or cities to put in practices</w:t>
      </w:r>
      <w:r w:rsidRPr="00AA2474">
        <w:rPr>
          <w:rFonts w:ascii="Times New Roman" w:hAnsi="Times New Roman" w:cs="Times New Roman"/>
          <w:sz w:val="24"/>
          <w:szCs w:val="24"/>
        </w:rPr>
        <w:t>.</w:t>
      </w:r>
    </w:p>
    <w:p w14:paraId="0E35D05D" w14:textId="41872A1F" w:rsidR="003343C7" w:rsidRPr="00AA2474" w:rsidRDefault="003343C7" w:rsidP="003343C7">
      <w:pPr>
        <w:spacing w:after="0" w:line="240" w:lineRule="auto"/>
        <w:textAlignment w:val="center"/>
        <w:rPr>
          <w:rFonts w:ascii="Times New Roman" w:hAnsi="Times New Roman" w:cs="Times New Roman"/>
          <w:sz w:val="24"/>
          <w:szCs w:val="24"/>
        </w:rPr>
      </w:pPr>
    </w:p>
    <w:p w14:paraId="5D2D5520" w14:textId="601C47C5" w:rsidR="00630581" w:rsidRPr="00AA2474" w:rsidRDefault="00630581" w:rsidP="00AA2474">
      <w:pPr>
        <w:spacing w:after="0" w:line="240" w:lineRule="auto"/>
        <w:textAlignment w:val="center"/>
        <w:rPr>
          <w:rFonts w:ascii="Times New Roman" w:hAnsi="Times New Roman" w:cs="Times New Roman"/>
          <w:sz w:val="24"/>
          <w:szCs w:val="24"/>
        </w:rPr>
      </w:pPr>
      <w:r w:rsidRPr="00AA2474">
        <w:rPr>
          <w:rFonts w:ascii="Times New Roman" w:hAnsi="Times New Roman" w:cs="Times New Roman"/>
          <w:sz w:val="24"/>
          <w:szCs w:val="24"/>
        </w:rPr>
        <w:t>Chris Koliba</w:t>
      </w:r>
      <w:r w:rsidR="00AA2474" w:rsidRPr="00AA2474">
        <w:rPr>
          <w:rFonts w:ascii="Times New Roman" w:hAnsi="Times New Roman" w:cs="Times New Roman"/>
          <w:sz w:val="24"/>
          <w:szCs w:val="24"/>
        </w:rPr>
        <w:t xml:space="preserve"> referenced the energy efficiency discussions of the 1980s and the eventual creation of VEIC as a model for increasing capacity of </w:t>
      </w:r>
      <w:r w:rsidRPr="00AA2474">
        <w:rPr>
          <w:rFonts w:ascii="Times New Roman" w:hAnsi="Times New Roman" w:cs="Times New Roman"/>
          <w:sz w:val="24"/>
          <w:szCs w:val="24"/>
        </w:rPr>
        <w:t>service providers to deliver tech</w:t>
      </w:r>
      <w:r w:rsidR="00AA2474" w:rsidRPr="00AA2474">
        <w:rPr>
          <w:rFonts w:ascii="Times New Roman" w:hAnsi="Times New Roman" w:cs="Times New Roman"/>
          <w:sz w:val="24"/>
          <w:szCs w:val="24"/>
        </w:rPr>
        <w:t>nical support.  The state could use a utility model to increase services to the agricultural sector, to build new sources of revenue, and to build a long-term framework for valuing water quality as an asset.  He suggested including a discussion of a utility model in the Act 73 report, along with other innovate ideas and market-based solutions.  The Act 73 group’s endorsement of market-based solutions could help move this conversation forward.</w:t>
      </w:r>
    </w:p>
    <w:p w14:paraId="5C84FDEB" w14:textId="77777777" w:rsidR="00AA2474" w:rsidRPr="00AA2474" w:rsidRDefault="00AA2474" w:rsidP="00AA2474">
      <w:pPr>
        <w:pStyle w:val="NormalWeb"/>
        <w:spacing w:before="0" w:beforeAutospacing="0" w:after="0" w:afterAutospacing="0"/>
      </w:pPr>
    </w:p>
    <w:p w14:paraId="7E8E0CC7" w14:textId="6BD35373" w:rsidR="00630581" w:rsidRPr="00AA2474" w:rsidRDefault="00AA2474" w:rsidP="00AA2474">
      <w:pPr>
        <w:pStyle w:val="NormalWeb"/>
        <w:spacing w:before="0" w:beforeAutospacing="0" w:after="0" w:afterAutospacing="0"/>
      </w:pPr>
      <w:r w:rsidRPr="00AA2474">
        <w:t>The meeting adjourned at 10:30 AM.</w:t>
      </w:r>
      <w:r w:rsidR="00630581" w:rsidRPr="00AA2474">
        <w:t> </w:t>
      </w:r>
    </w:p>
    <w:p w14:paraId="63CFB0A2" w14:textId="77777777" w:rsidR="00AF723F" w:rsidRPr="00AA2474" w:rsidRDefault="00AF723F" w:rsidP="00630581">
      <w:pPr>
        <w:spacing w:after="0"/>
        <w:rPr>
          <w:rFonts w:ascii="Times New Roman" w:hAnsi="Times New Roman" w:cs="Times New Roman"/>
          <w:sz w:val="24"/>
          <w:szCs w:val="24"/>
        </w:rPr>
      </w:pPr>
    </w:p>
    <w:sectPr w:rsidR="00AF723F" w:rsidRPr="00AA2474" w:rsidSect="00DF1EA4">
      <w:footerReference w:type="default" r:id="rId15"/>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6C12" w14:textId="77777777" w:rsidR="00F719BA" w:rsidRDefault="00F719BA" w:rsidP="00C82357">
      <w:pPr>
        <w:spacing w:after="0" w:line="240" w:lineRule="auto"/>
      </w:pPr>
      <w:r>
        <w:separator/>
      </w:r>
    </w:p>
  </w:endnote>
  <w:endnote w:type="continuationSeparator" w:id="0">
    <w:p w14:paraId="64AEF165" w14:textId="77777777" w:rsidR="00F719BA" w:rsidRDefault="00F719BA" w:rsidP="00C8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9FE6" w14:textId="583C00BC" w:rsidR="00892945" w:rsidRPr="00635899" w:rsidRDefault="00AA2474">
    <w:pPr>
      <w:pStyle w:val="Footer"/>
      <w:rPr>
        <w:rFonts w:ascii="Times New Roman" w:hAnsi="Times New Roman" w:cs="Times New Roman"/>
      </w:rPr>
    </w:pPr>
    <w:r>
      <w:tab/>
    </w:r>
    <w:r>
      <w:fldChar w:fldCharType="begin"/>
    </w:r>
    <w:r>
      <w:instrText xml:space="preserve"> PAGE   \* MERGEFORMAT </w:instrText>
    </w:r>
    <w:r>
      <w:fldChar w:fldCharType="separate"/>
    </w:r>
    <w:r w:rsidR="00FC316A">
      <w:rPr>
        <w:noProof/>
      </w:rPr>
      <w:t>2</w:t>
    </w:r>
    <w:r>
      <w:rPr>
        <w:noProof/>
      </w:rPr>
      <w:fldChar w:fldCharType="end"/>
    </w:r>
    <w:r w:rsidR="00892945">
      <w:tab/>
    </w:r>
    <w:r w:rsidR="008929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C0EE" w14:textId="77777777" w:rsidR="00F719BA" w:rsidRDefault="00F719BA" w:rsidP="00C82357">
      <w:pPr>
        <w:spacing w:after="0" w:line="240" w:lineRule="auto"/>
      </w:pPr>
      <w:r>
        <w:separator/>
      </w:r>
    </w:p>
  </w:footnote>
  <w:footnote w:type="continuationSeparator" w:id="0">
    <w:p w14:paraId="5386D692" w14:textId="77777777" w:rsidR="00F719BA" w:rsidRDefault="00F719BA" w:rsidP="00C82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lowerRoman"/>
      <w:lvlText w:val="%1."/>
      <w:lvlJc w:val="left"/>
      <w:pPr>
        <w:ind w:left="1880" w:hanging="399"/>
      </w:pPr>
      <w:rPr>
        <w:rFonts w:ascii="Garamond" w:hAnsi="Garamond" w:cs="Garamond"/>
        <w:b w:val="0"/>
        <w:bCs w:val="0"/>
        <w:color w:val="111111"/>
        <w:w w:val="99"/>
        <w:sz w:val="24"/>
        <w:szCs w:val="24"/>
      </w:rPr>
    </w:lvl>
    <w:lvl w:ilvl="1">
      <w:start w:val="1"/>
      <w:numFmt w:val="upperRoman"/>
      <w:lvlText w:val="%2."/>
      <w:lvlJc w:val="left"/>
      <w:pPr>
        <w:ind w:left="2960" w:hanging="720"/>
      </w:pPr>
      <w:rPr>
        <w:rFonts w:ascii="Garamond" w:hAnsi="Garamond" w:cs="Garamond"/>
        <w:b w:val="0"/>
        <w:bCs w:val="0"/>
        <w:color w:val="111111"/>
        <w:spacing w:val="-1"/>
        <w:w w:val="99"/>
        <w:sz w:val="24"/>
        <w:szCs w:val="24"/>
      </w:rPr>
    </w:lvl>
    <w:lvl w:ilvl="2">
      <w:numFmt w:val="bullet"/>
      <w:lvlText w:val="•"/>
      <w:lvlJc w:val="left"/>
      <w:pPr>
        <w:ind w:left="3648" w:hanging="720"/>
      </w:pPr>
    </w:lvl>
    <w:lvl w:ilvl="3">
      <w:numFmt w:val="bullet"/>
      <w:lvlText w:val="•"/>
      <w:lvlJc w:val="left"/>
      <w:pPr>
        <w:ind w:left="4337" w:hanging="720"/>
      </w:pPr>
    </w:lvl>
    <w:lvl w:ilvl="4">
      <w:numFmt w:val="bullet"/>
      <w:lvlText w:val="•"/>
      <w:lvlJc w:val="left"/>
      <w:pPr>
        <w:ind w:left="5026" w:hanging="720"/>
      </w:pPr>
    </w:lvl>
    <w:lvl w:ilvl="5">
      <w:numFmt w:val="bullet"/>
      <w:lvlText w:val="•"/>
      <w:lvlJc w:val="left"/>
      <w:pPr>
        <w:ind w:left="5715" w:hanging="720"/>
      </w:pPr>
    </w:lvl>
    <w:lvl w:ilvl="6">
      <w:numFmt w:val="bullet"/>
      <w:lvlText w:val="•"/>
      <w:lvlJc w:val="left"/>
      <w:pPr>
        <w:ind w:left="6404" w:hanging="720"/>
      </w:pPr>
    </w:lvl>
    <w:lvl w:ilvl="7">
      <w:numFmt w:val="bullet"/>
      <w:lvlText w:val="•"/>
      <w:lvlJc w:val="left"/>
      <w:pPr>
        <w:ind w:left="7093" w:hanging="720"/>
      </w:pPr>
    </w:lvl>
    <w:lvl w:ilvl="8">
      <w:numFmt w:val="bullet"/>
      <w:lvlText w:val="•"/>
      <w:lvlJc w:val="left"/>
      <w:pPr>
        <w:ind w:left="7782" w:hanging="720"/>
      </w:pPr>
    </w:lvl>
  </w:abstractNum>
  <w:abstractNum w:abstractNumId="1" w15:restartNumberingAfterBreak="0">
    <w:nsid w:val="08FB3CCC"/>
    <w:multiLevelType w:val="hybridMultilevel"/>
    <w:tmpl w:val="198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59E2"/>
    <w:multiLevelType w:val="hybridMultilevel"/>
    <w:tmpl w:val="F69C6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F9119D"/>
    <w:multiLevelType w:val="multilevel"/>
    <w:tmpl w:val="C7BC04F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start w:val="1"/>
      <w:numFmt w:val="bullet"/>
      <w:lvlText w:val=""/>
      <w:lvlJc w:val="left"/>
      <w:pPr>
        <w:tabs>
          <w:tab w:val="num" w:pos="2700"/>
        </w:tabs>
        <w:ind w:left="2700" w:hanging="360"/>
      </w:pPr>
      <w:rPr>
        <w:rFonts w:ascii="Symbol" w:hAnsi="Symbol"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Symbol" w:hAnsi="Symbol" w:hint="default"/>
        <w:sz w:val="20"/>
      </w:rPr>
    </w:lvl>
    <w:lvl w:ilvl="6">
      <w:start w:val="1"/>
      <w:numFmt w:val="bullet"/>
      <w:lvlText w:val=""/>
      <w:lvlJc w:val="left"/>
      <w:pPr>
        <w:tabs>
          <w:tab w:val="num" w:pos="4860"/>
        </w:tabs>
        <w:ind w:left="4860" w:hanging="360"/>
      </w:pPr>
      <w:rPr>
        <w:rFonts w:ascii="Symbol" w:hAnsi="Symbol" w:hint="default"/>
        <w:sz w:val="20"/>
      </w:rPr>
    </w:lvl>
    <w:lvl w:ilvl="7">
      <w:start w:val="1"/>
      <w:numFmt w:val="bullet"/>
      <w:lvlText w:val=""/>
      <w:lvlJc w:val="left"/>
      <w:pPr>
        <w:tabs>
          <w:tab w:val="num" w:pos="5580"/>
        </w:tabs>
        <w:ind w:left="5580" w:hanging="360"/>
      </w:pPr>
      <w:rPr>
        <w:rFonts w:ascii="Symbol" w:hAnsi="Symbol" w:hint="default"/>
        <w:sz w:val="20"/>
      </w:rPr>
    </w:lvl>
    <w:lvl w:ilvl="8">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13E45308"/>
    <w:multiLevelType w:val="hybridMultilevel"/>
    <w:tmpl w:val="7BCA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553A6A"/>
    <w:multiLevelType w:val="hybridMultilevel"/>
    <w:tmpl w:val="4616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BE5"/>
    <w:multiLevelType w:val="hybridMultilevel"/>
    <w:tmpl w:val="B10A6E94"/>
    <w:lvl w:ilvl="0" w:tplc="0409000F">
      <w:start w:val="1"/>
      <w:numFmt w:val="decimal"/>
      <w:lvlText w:val="%1."/>
      <w:lvlJc w:val="left"/>
      <w:pPr>
        <w:ind w:left="5760" w:hanging="360"/>
      </w:pPr>
      <w:rPr>
        <w:rFonts w:hint="default"/>
      </w:rPr>
    </w:lvl>
    <w:lvl w:ilvl="1" w:tplc="04090019">
      <w:start w:val="1"/>
      <w:numFmt w:val="lowerLetter"/>
      <w:lvlText w:val="%2."/>
      <w:lvlJc w:val="left"/>
      <w:pPr>
        <w:ind w:left="81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F7226"/>
    <w:multiLevelType w:val="hybridMultilevel"/>
    <w:tmpl w:val="3E20DACC"/>
    <w:lvl w:ilvl="0" w:tplc="E8D037C0">
      <w:start w:val="5"/>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20025"/>
    <w:multiLevelType w:val="hybridMultilevel"/>
    <w:tmpl w:val="856C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9436D"/>
    <w:multiLevelType w:val="hybridMultilevel"/>
    <w:tmpl w:val="695C5272"/>
    <w:lvl w:ilvl="0" w:tplc="2A60F9E4">
      <w:start w:val="1"/>
      <w:numFmt w:val="bullet"/>
      <w:lvlText w:val=""/>
      <w:lvlJc w:val="left"/>
      <w:pPr>
        <w:ind w:left="2520" w:hanging="360"/>
      </w:pPr>
      <w:rPr>
        <w:rFonts w:ascii="Symbol" w:hAnsi="Symbol"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E8038C"/>
    <w:multiLevelType w:val="multilevel"/>
    <w:tmpl w:val="95707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C2558A"/>
    <w:multiLevelType w:val="hybridMultilevel"/>
    <w:tmpl w:val="9DB49952"/>
    <w:lvl w:ilvl="0" w:tplc="7FA44AB0">
      <w:start w:val="1"/>
      <w:numFmt w:val="bullet"/>
      <w:lvlText w:val=""/>
      <w:lvlJc w:val="left"/>
      <w:pPr>
        <w:ind w:left="720" w:hanging="360"/>
      </w:pPr>
      <w:rPr>
        <w:rFonts w:ascii="Symbol" w:hAnsi="Symbol" w:hint="default"/>
      </w:rPr>
    </w:lvl>
    <w:lvl w:ilvl="1" w:tplc="CE30B264">
      <w:start w:val="1"/>
      <w:numFmt w:val="bullet"/>
      <w:lvlText w:val="o"/>
      <w:lvlJc w:val="left"/>
      <w:pPr>
        <w:ind w:left="1440" w:hanging="360"/>
      </w:pPr>
      <w:rPr>
        <w:rFonts w:ascii="Courier New" w:hAnsi="Courier New" w:hint="default"/>
      </w:rPr>
    </w:lvl>
    <w:lvl w:ilvl="2" w:tplc="1A7A3D86">
      <w:start w:val="1"/>
      <w:numFmt w:val="bullet"/>
      <w:lvlText w:val=""/>
      <w:lvlJc w:val="left"/>
      <w:pPr>
        <w:ind w:left="2160" w:hanging="360"/>
      </w:pPr>
      <w:rPr>
        <w:rFonts w:ascii="Wingdings" w:hAnsi="Wingdings" w:hint="default"/>
      </w:rPr>
    </w:lvl>
    <w:lvl w:ilvl="3" w:tplc="CBE46F2C">
      <w:start w:val="1"/>
      <w:numFmt w:val="bullet"/>
      <w:lvlText w:val=""/>
      <w:lvlJc w:val="left"/>
      <w:pPr>
        <w:ind w:left="2880" w:hanging="360"/>
      </w:pPr>
      <w:rPr>
        <w:rFonts w:ascii="Symbol" w:hAnsi="Symbol" w:hint="default"/>
      </w:rPr>
    </w:lvl>
    <w:lvl w:ilvl="4" w:tplc="686ED8FC">
      <w:start w:val="1"/>
      <w:numFmt w:val="bullet"/>
      <w:lvlText w:val="o"/>
      <w:lvlJc w:val="left"/>
      <w:pPr>
        <w:ind w:left="3600" w:hanging="360"/>
      </w:pPr>
      <w:rPr>
        <w:rFonts w:ascii="Courier New" w:hAnsi="Courier New" w:hint="default"/>
      </w:rPr>
    </w:lvl>
    <w:lvl w:ilvl="5" w:tplc="D6645096">
      <w:start w:val="1"/>
      <w:numFmt w:val="bullet"/>
      <w:lvlText w:val=""/>
      <w:lvlJc w:val="left"/>
      <w:pPr>
        <w:ind w:left="4320" w:hanging="360"/>
      </w:pPr>
      <w:rPr>
        <w:rFonts w:ascii="Wingdings" w:hAnsi="Wingdings" w:hint="default"/>
      </w:rPr>
    </w:lvl>
    <w:lvl w:ilvl="6" w:tplc="1624CA26">
      <w:start w:val="1"/>
      <w:numFmt w:val="bullet"/>
      <w:lvlText w:val=""/>
      <w:lvlJc w:val="left"/>
      <w:pPr>
        <w:ind w:left="5040" w:hanging="360"/>
      </w:pPr>
      <w:rPr>
        <w:rFonts w:ascii="Symbol" w:hAnsi="Symbol" w:hint="default"/>
      </w:rPr>
    </w:lvl>
    <w:lvl w:ilvl="7" w:tplc="8C122186">
      <w:start w:val="1"/>
      <w:numFmt w:val="bullet"/>
      <w:lvlText w:val="o"/>
      <w:lvlJc w:val="left"/>
      <w:pPr>
        <w:ind w:left="5760" w:hanging="360"/>
      </w:pPr>
      <w:rPr>
        <w:rFonts w:ascii="Courier New" w:hAnsi="Courier New" w:hint="default"/>
      </w:rPr>
    </w:lvl>
    <w:lvl w:ilvl="8" w:tplc="869CA210">
      <w:start w:val="1"/>
      <w:numFmt w:val="bullet"/>
      <w:lvlText w:val=""/>
      <w:lvlJc w:val="left"/>
      <w:pPr>
        <w:ind w:left="6480" w:hanging="360"/>
      </w:pPr>
      <w:rPr>
        <w:rFonts w:ascii="Wingdings" w:hAnsi="Wingdings" w:hint="default"/>
      </w:rPr>
    </w:lvl>
  </w:abstractNum>
  <w:abstractNum w:abstractNumId="12" w15:restartNumberingAfterBreak="0">
    <w:nsid w:val="567C0E1B"/>
    <w:multiLevelType w:val="hybridMultilevel"/>
    <w:tmpl w:val="AD9AA1EA"/>
    <w:lvl w:ilvl="0" w:tplc="C7140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3614E5"/>
    <w:multiLevelType w:val="multilevel"/>
    <w:tmpl w:val="B6682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80157C"/>
    <w:multiLevelType w:val="hybridMultilevel"/>
    <w:tmpl w:val="F0F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D785E"/>
    <w:multiLevelType w:val="hybridMultilevel"/>
    <w:tmpl w:val="15D60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B30AB"/>
    <w:multiLevelType w:val="hybridMultilevel"/>
    <w:tmpl w:val="9C24BDFE"/>
    <w:lvl w:ilvl="0" w:tplc="70A4DAF6">
      <w:start w:val="1"/>
      <w:numFmt w:val="decimal"/>
      <w:lvlText w:val="%1."/>
      <w:lvlJc w:val="left"/>
      <w:pPr>
        <w:ind w:left="780" w:hanging="360"/>
      </w:pPr>
      <w:rPr>
        <w:rFonts w:asciiTheme="minorHAnsi" w:eastAsiaTheme="minorHAnsi" w:hAnsiTheme="minorHAnsi" w:cs="Times New Roman"/>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7D86348"/>
    <w:multiLevelType w:val="hybridMultilevel"/>
    <w:tmpl w:val="34AE8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4126EA"/>
    <w:multiLevelType w:val="hybridMultilevel"/>
    <w:tmpl w:val="0B12ED58"/>
    <w:lvl w:ilvl="0" w:tplc="1916D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402E42"/>
    <w:multiLevelType w:val="hybridMultilevel"/>
    <w:tmpl w:val="A960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6"/>
  </w:num>
  <w:num w:numId="5">
    <w:abstractNumId w:val="18"/>
  </w:num>
  <w:num w:numId="6">
    <w:abstractNumId w:val="7"/>
  </w:num>
  <w:num w:numId="7">
    <w:abstractNumId w:val="17"/>
  </w:num>
  <w:num w:numId="8">
    <w:abstractNumId w:val="4"/>
  </w:num>
  <w:num w:numId="9">
    <w:abstractNumId w:val="19"/>
  </w:num>
  <w:num w:numId="10">
    <w:abstractNumId w:val="8"/>
  </w:num>
  <w:num w:numId="11">
    <w:abstractNumId w:val="14"/>
  </w:num>
  <w:num w:numId="12">
    <w:abstractNumId w:val="15"/>
  </w:num>
  <w:num w:numId="13">
    <w:abstractNumId w:val="5"/>
  </w:num>
  <w:num w:numId="14">
    <w:abstractNumId w:val="1"/>
  </w:num>
  <w:num w:numId="15">
    <w:abstractNumId w:val="6"/>
  </w:num>
  <w:num w:numId="16">
    <w:abstractNumId w:val="13"/>
  </w:num>
  <w:num w:numId="17">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18">
    <w:abstractNumId w:val="1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EF"/>
    <w:rsid w:val="0005512A"/>
    <w:rsid w:val="00063B23"/>
    <w:rsid w:val="000B444E"/>
    <w:rsid w:val="000B71F9"/>
    <w:rsid w:val="000C7259"/>
    <w:rsid w:val="000E0A1A"/>
    <w:rsid w:val="000F50BA"/>
    <w:rsid w:val="00115DA7"/>
    <w:rsid w:val="00152C99"/>
    <w:rsid w:val="001622EC"/>
    <w:rsid w:val="001A5E09"/>
    <w:rsid w:val="001D1CBD"/>
    <w:rsid w:val="00202FE0"/>
    <w:rsid w:val="00213DA9"/>
    <w:rsid w:val="002349F1"/>
    <w:rsid w:val="002568C5"/>
    <w:rsid w:val="002718C3"/>
    <w:rsid w:val="00294E29"/>
    <w:rsid w:val="00332014"/>
    <w:rsid w:val="003343C7"/>
    <w:rsid w:val="00335CDF"/>
    <w:rsid w:val="003B48AE"/>
    <w:rsid w:val="0045114D"/>
    <w:rsid w:val="004840B3"/>
    <w:rsid w:val="004B222D"/>
    <w:rsid w:val="00522B60"/>
    <w:rsid w:val="00562236"/>
    <w:rsid w:val="00567677"/>
    <w:rsid w:val="005D7094"/>
    <w:rsid w:val="0061389F"/>
    <w:rsid w:val="00630581"/>
    <w:rsid w:val="00635899"/>
    <w:rsid w:val="0067649F"/>
    <w:rsid w:val="006848EF"/>
    <w:rsid w:val="006B3AC2"/>
    <w:rsid w:val="006C50F8"/>
    <w:rsid w:val="006F5B04"/>
    <w:rsid w:val="00731247"/>
    <w:rsid w:val="0075369A"/>
    <w:rsid w:val="00771C38"/>
    <w:rsid w:val="00782F71"/>
    <w:rsid w:val="007A7EAE"/>
    <w:rsid w:val="007D269B"/>
    <w:rsid w:val="00805FA9"/>
    <w:rsid w:val="00875CE2"/>
    <w:rsid w:val="0088789F"/>
    <w:rsid w:val="00892945"/>
    <w:rsid w:val="008A1B57"/>
    <w:rsid w:val="0094523C"/>
    <w:rsid w:val="00A002BF"/>
    <w:rsid w:val="00A00490"/>
    <w:rsid w:val="00A44914"/>
    <w:rsid w:val="00AA2474"/>
    <w:rsid w:val="00AB69F2"/>
    <w:rsid w:val="00AF723F"/>
    <w:rsid w:val="00B13A42"/>
    <w:rsid w:val="00B36D86"/>
    <w:rsid w:val="00B46AED"/>
    <w:rsid w:val="00BA7046"/>
    <w:rsid w:val="00BB53D1"/>
    <w:rsid w:val="00C47D7F"/>
    <w:rsid w:val="00C7787F"/>
    <w:rsid w:val="00C82357"/>
    <w:rsid w:val="00CB3895"/>
    <w:rsid w:val="00D101AD"/>
    <w:rsid w:val="00D54A2B"/>
    <w:rsid w:val="00D90078"/>
    <w:rsid w:val="00D97F8E"/>
    <w:rsid w:val="00DD16DC"/>
    <w:rsid w:val="00DD1965"/>
    <w:rsid w:val="00DF1EA4"/>
    <w:rsid w:val="00E01465"/>
    <w:rsid w:val="00E13E00"/>
    <w:rsid w:val="00E25362"/>
    <w:rsid w:val="00E33F19"/>
    <w:rsid w:val="00E772B3"/>
    <w:rsid w:val="00EF5C9D"/>
    <w:rsid w:val="00F15CAD"/>
    <w:rsid w:val="00F33C95"/>
    <w:rsid w:val="00F719BA"/>
    <w:rsid w:val="00F74809"/>
    <w:rsid w:val="00FA0D92"/>
    <w:rsid w:val="00FB1763"/>
    <w:rsid w:val="00FC316A"/>
    <w:rsid w:val="00FC5920"/>
    <w:rsid w:val="00FE7D86"/>
    <w:rsid w:val="2F49F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4CB78"/>
  <w15:chartTrackingRefBased/>
  <w15:docId w15:val="{534C42B6-938B-4505-B9C6-F788F5DC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0F8"/>
    <w:rPr>
      <w:color w:val="0563C1" w:themeColor="hyperlink"/>
      <w:u w:val="single"/>
    </w:rPr>
  </w:style>
  <w:style w:type="character" w:styleId="UnresolvedMention">
    <w:name w:val="Unresolved Mention"/>
    <w:basedOn w:val="DefaultParagraphFont"/>
    <w:uiPriority w:val="99"/>
    <w:semiHidden/>
    <w:unhideWhenUsed/>
    <w:rsid w:val="006C50F8"/>
    <w:rPr>
      <w:color w:val="808080"/>
      <w:shd w:val="clear" w:color="auto" w:fill="E6E6E6"/>
    </w:rPr>
  </w:style>
  <w:style w:type="paragraph" w:customStyle="1" w:styleId="Default">
    <w:name w:val="Default"/>
    <w:rsid w:val="007536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7"/>
  </w:style>
  <w:style w:type="paragraph" w:styleId="Footer">
    <w:name w:val="footer"/>
    <w:basedOn w:val="Normal"/>
    <w:link w:val="FooterChar"/>
    <w:uiPriority w:val="99"/>
    <w:unhideWhenUsed/>
    <w:rsid w:val="00C8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7"/>
  </w:style>
  <w:style w:type="character" w:styleId="FollowedHyperlink">
    <w:name w:val="FollowedHyperlink"/>
    <w:basedOn w:val="DefaultParagraphFont"/>
    <w:uiPriority w:val="99"/>
    <w:semiHidden/>
    <w:unhideWhenUsed/>
    <w:rsid w:val="00635899"/>
    <w:rPr>
      <w:color w:val="954F72" w:themeColor="followedHyperlink"/>
      <w:u w:val="single"/>
    </w:rPr>
  </w:style>
  <w:style w:type="paragraph" w:styleId="ListParagraph">
    <w:name w:val="List Paragraph"/>
    <w:basedOn w:val="Normal"/>
    <w:uiPriority w:val="34"/>
    <w:qFormat/>
    <w:rsid w:val="0005512A"/>
    <w:pPr>
      <w:ind w:left="720"/>
      <w:contextualSpacing/>
    </w:pPr>
  </w:style>
  <w:style w:type="paragraph" w:styleId="FootnoteText">
    <w:name w:val="footnote text"/>
    <w:basedOn w:val="Normal"/>
    <w:link w:val="FootnoteTextChar"/>
    <w:uiPriority w:val="99"/>
    <w:unhideWhenUsed/>
    <w:rsid w:val="0005512A"/>
    <w:pPr>
      <w:spacing w:after="0" w:line="240" w:lineRule="auto"/>
    </w:pPr>
    <w:rPr>
      <w:sz w:val="20"/>
      <w:szCs w:val="20"/>
    </w:rPr>
  </w:style>
  <w:style w:type="character" w:customStyle="1" w:styleId="FootnoteTextChar">
    <w:name w:val="Footnote Text Char"/>
    <w:basedOn w:val="DefaultParagraphFont"/>
    <w:link w:val="FootnoteText"/>
    <w:uiPriority w:val="99"/>
    <w:rsid w:val="0005512A"/>
    <w:rPr>
      <w:sz w:val="20"/>
      <w:szCs w:val="20"/>
    </w:rPr>
  </w:style>
  <w:style w:type="character" w:styleId="FootnoteReference">
    <w:name w:val="footnote reference"/>
    <w:basedOn w:val="DefaultParagraphFont"/>
    <w:uiPriority w:val="99"/>
    <w:unhideWhenUsed/>
    <w:rsid w:val="0005512A"/>
    <w:rPr>
      <w:vertAlign w:val="superscript"/>
    </w:rPr>
  </w:style>
  <w:style w:type="paragraph" w:styleId="BodyText">
    <w:name w:val="Body Text"/>
    <w:basedOn w:val="Normal"/>
    <w:link w:val="BodyTextChar"/>
    <w:uiPriority w:val="1"/>
    <w:qFormat/>
    <w:rsid w:val="0005512A"/>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5512A"/>
    <w:rPr>
      <w:rFonts w:ascii="Times New Roman" w:eastAsia="Times New Roman" w:hAnsi="Times New Roman"/>
      <w:sz w:val="24"/>
      <w:szCs w:val="24"/>
    </w:rPr>
  </w:style>
  <w:style w:type="table" w:styleId="TableGrid">
    <w:name w:val="Table Grid"/>
    <w:basedOn w:val="TableNormal"/>
    <w:uiPriority w:val="39"/>
    <w:rsid w:val="0005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12A"/>
    <w:pPr>
      <w:spacing w:after="0" w:line="240" w:lineRule="auto"/>
    </w:pPr>
  </w:style>
  <w:style w:type="paragraph" w:styleId="BalloonText">
    <w:name w:val="Balloon Text"/>
    <w:basedOn w:val="Normal"/>
    <w:link w:val="BalloonTextChar"/>
    <w:uiPriority w:val="99"/>
    <w:semiHidden/>
    <w:unhideWhenUsed/>
    <w:rsid w:val="00EF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9D"/>
    <w:rPr>
      <w:rFonts w:ascii="Segoe UI" w:hAnsi="Segoe UI" w:cs="Segoe UI"/>
      <w:sz w:val="18"/>
      <w:szCs w:val="18"/>
    </w:rPr>
  </w:style>
  <w:style w:type="paragraph" w:styleId="NormalWeb">
    <w:name w:val="Normal (Web)"/>
    <w:basedOn w:val="Normal"/>
    <w:uiPriority w:val="99"/>
    <w:unhideWhenUsed/>
    <w:rsid w:val="008878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4403">
      <w:bodyDiv w:val="1"/>
      <w:marLeft w:val="0"/>
      <w:marRight w:val="0"/>
      <w:marTop w:val="0"/>
      <w:marBottom w:val="0"/>
      <w:divBdr>
        <w:top w:val="none" w:sz="0" w:space="0" w:color="auto"/>
        <w:left w:val="none" w:sz="0" w:space="0" w:color="auto"/>
        <w:bottom w:val="none" w:sz="0" w:space="0" w:color="auto"/>
        <w:right w:val="none" w:sz="0" w:space="0" w:color="auto"/>
      </w:divBdr>
    </w:div>
    <w:div w:id="1311835074">
      <w:bodyDiv w:val="1"/>
      <w:marLeft w:val="0"/>
      <w:marRight w:val="0"/>
      <w:marTop w:val="0"/>
      <w:marBottom w:val="0"/>
      <w:divBdr>
        <w:top w:val="none" w:sz="0" w:space="0" w:color="auto"/>
        <w:left w:val="none" w:sz="0" w:space="0" w:color="auto"/>
        <w:bottom w:val="none" w:sz="0" w:space="0" w:color="auto"/>
        <w:right w:val="none" w:sz="0" w:space="0" w:color="auto"/>
      </w:divBdr>
    </w:div>
    <w:div w:id="1468469494">
      <w:bodyDiv w:val="1"/>
      <w:marLeft w:val="0"/>
      <w:marRight w:val="0"/>
      <w:marTop w:val="0"/>
      <w:marBottom w:val="0"/>
      <w:divBdr>
        <w:top w:val="none" w:sz="0" w:space="0" w:color="auto"/>
        <w:left w:val="none" w:sz="0" w:space="0" w:color="auto"/>
        <w:bottom w:val="none" w:sz="0" w:space="0" w:color="auto"/>
        <w:right w:val="none" w:sz="0" w:space="0" w:color="auto"/>
      </w:divBdr>
    </w:div>
    <w:div w:id="1707027528">
      <w:bodyDiv w:val="1"/>
      <w:marLeft w:val="0"/>
      <w:marRight w:val="0"/>
      <w:marTop w:val="0"/>
      <w:marBottom w:val="0"/>
      <w:divBdr>
        <w:top w:val="none" w:sz="0" w:space="0" w:color="auto"/>
        <w:left w:val="none" w:sz="0" w:space="0" w:color="auto"/>
        <w:bottom w:val="none" w:sz="0" w:space="0" w:color="auto"/>
        <w:right w:val="none" w:sz="0" w:space="0" w:color="auto"/>
      </w:divBdr>
    </w:div>
    <w:div w:id="18302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vermont.gov/sites/anr/files/specialtopics/Act73WorkingGroup/2017-09-08-act-73-meeting-presentation.pptx"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3.jpg@01D3288F.06A901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3288F.06A901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4.jpg@01D3288F.06A90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F827-0133-4B22-BB5A-5DFCDF1B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Moore, Julie</cp:lastModifiedBy>
  <cp:revision>2</cp:revision>
  <cp:lastPrinted>2017-08-10T21:55:00Z</cp:lastPrinted>
  <dcterms:created xsi:type="dcterms:W3CDTF">2017-09-20T23:57:00Z</dcterms:created>
  <dcterms:modified xsi:type="dcterms:W3CDTF">2017-09-20T23:57:00Z</dcterms:modified>
</cp:coreProperties>
</file>